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74D7" w14:textId="77777777" w:rsidR="00597296" w:rsidRDefault="00597296">
      <w:pPr>
        <w:pStyle w:val="1Naturedoc"/>
      </w:pPr>
      <w:bookmarkStart w:id="0" w:name="_Hlk134440680"/>
    </w:p>
    <w:p w14:paraId="12FDF8BA" w14:textId="664DB166" w:rsidR="00597296" w:rsidRDefault="002431E4">
      <w:pPr>
        <w:pStyle w:val="1Naturedoc"/>
      </w:pPr>
      <w:r>
        <w:t>_ Communiqué de presse</w:t>
      </w:r>
    </w:p>
    <w:p w14:paraId="343BC2B9" w14:textId="5507D360" w:rsidR="00597296" w:rsidRDefault="002431E4">
      <w:pPr>
        <w:pStyle w:val="2Grandtitre"/>
        <w:jc w:val="both"/>
      </w:pPr>
      <w:r>
        <w:t xml:space="preserve">Les </w:t>
      </w:r>
      <w:r w:rsidR="00043CE3">
        <w:t>N</w:t>
      </w:r>
      <w:r>
        <w:t>otaires d</w:t>
      </w:r>
      <w:r w:rsidR="00043CE3">
        <w:t>’</w:t>
      </w:r>
      <w:r>
        <w:t xml:space="preserve">Europe </w:t>
      </w:r>
      <w:r w:rsidR="00043CE3">
        <w:t>saluent</w:t>
      </w:r>
      <w:r>
        <w:t xml:space="preserve"> la proposition de règlement </w:t>
      </w:r>
      <w:r w:rsidR="00043CE3">
        <w:t>sur</w:t>
      </w:r>
      <w:r>
        <w:t xml:space="preserve"> la protection des adultes vulnérables</w:t>
      </w:r>
    </w:p>
    <w:p w14:paraId="73AA1429" w14:textId="77777777" w:rsidR="00597296" w:rsidRDefault="00597296">
      <w:pPr>
        <w:pStyle w:val="BodyText"/>
        <w:rPr>
          <w:b/>
          <w:sz w:val="20"/>
        </w:rPr>
      </w:pPr>
    </w:p>
    <w:p w14:paraId="5ED46ABE" w14:textId="77777777" w:rsidR="00597296" w:rsidRDefault="00597296">
      <w:pPr>
        <w:pStyle w:val="BodyText"/>
        <w:rPr>
          <w:b/>
          <w:sz w:val="20"/>
        </w:rPr>
      </w:pPr>
    </w:p>
    <w:p w14:paraId="160FF2FD" w14:textId="0FFCBA5A" w:rsidR="00597296" w:rsidRDefault="002431E4">
      <w:pPr>
        <w:pStyle w:val="P68B1DB1-3Titreparagraphe1"/>
        <w:ind w:left="993"/>
      </w:pPr>
      <w:r>
        <w:t xml:space="preserve">Bruxelles, le </w:t>
      </w:r>
      <w:r>
        <w:t>1 juin</w:t>
      </w:r>
      <w:r>
        <w:t xml:space="preserve"> 2023 </w:t>
      </w:r>
    </w:p>
    <w:p w14:paraId="7CE97FF7" w14:textId="77777777" w:rsidR="00597296" w:rsidRDefault="00597296">
      <w:pPr>
        <w:pStyle w:val="4Paragraphe"/>
        <w:spacing w:before="0" w:after="120" w:line="240" w:lineRule="auto"/>
        <w:ind w:left="992"/>
        <w:jc w:val="both"/>
      </w:pPr>
    </w:p>
    <w:p w14:paraId="7DFCC10B" w14:textId="169C2B31" w:rsidR="00597296" w:rsidRDefault="002431E4">
      <w:pPr>
        <w:pStyle w:val="4Paragraphe"/>
        <w:spacing w:before="0"/>
        <w:ind w:left="992"/>
        <w:jc w:val="both"/>
      </w:pPr>
      <w:r>
        <w:t xml:space="preserve">Le Conseil des notariats de l’Union européenne (CNUE) </w:t>
      </w:r>
      <w:r w:rsidR="00043CE3">
        <w:t>accueille avec satisfaction</w:t>
      </w:r>
      <w:r>
        <w:t xml:space="preserve"> la proposition de règlement de la Commission européenne visant à renforcer la protection des adultes vulnérables dans un contexte transfrontalier, ainsi que</w:t>
      </w:r>
      <w:r w:rsidR="00043CE3">
        <w:t xml:space="preserve"> la proposition</w:t>
      </w:r>
      <w:r w:rsidR="00A30C68">
        <w:t xml:space="preserve"> de</w:t>
      </w:r>
      <w:r>
        <w:t xml:space="preserve"> décision du Conseil visant à </w:t>
      </w:r>
      <w:r w:rsidR="00043CE3">
        <w:t>ce</w:t>
      </w:r>
      <w:r>
        <w:t xml:space="preserve"> que tous les États </w:t>
      </w:r>
      <w:r w:rsidRPr="00C909DA">
        <w:t>membres soient bientôt parties à la convention</w:t>
      </w:r>
      <w:r>
        <w:t xml:space="preserve"> de La Haye du 13 janvier 2000 sur la protection des adultes. </w:t>
      </w:r>
    </w:p>
    <w:p w14:paraId="1EED44DE" w14:textId="77777777" w:rsidR="00597296" w:rsidRDefault="00597296">
      <w:pPr>
        <w:pStyle w:val="4Paragraphe"/>
        <w:spacing w:before="0"/>
        <w:ind w:left="992"/>
        <w:jc w:val="both"/>
      </w:pPr>
    </w:p>
    <w:p w14:paraId="58757210" w14:textId="308079D6" w:rsidR="00597296" w:rsidRDefault="002431E4" w:rsidP="00F109EF">
      <w:pPr>
        <w:pStyle w:val="4Paragraphe"/>
        <w:tabs>
          <w:tab w:val="left" w:pos="10342"/>
        </w:tabs>
        <w:spacing w:before="0"/>
        <w:ind w:left="992"/>
        <w:jc w:val="both"/>
      </w:pPr>
      <w:r>
        <w:t>Les propositions revêtent une importance particulière étant donné que l’Union européenne est c</w:t>
      </w:r>
      <w:r>
        <w:t xml:space="preserve">onfrontée à un nombre croissant de personnes vulnérables. Les personnes vulnérables, </w:t>
      </w:r>
      <w:r w:rsidR="00043CE3">
        <w:t xml:space="preserve">qu’il s’agisse de personnes âgées, de </w:t>
      </w:r>
      <w:r w:rsidR="00C909DA">
        <w:t>personnes invalides</w:t>
      </w:r>
      <w:r w:rsidR="00043CE3">
        <w:t xml:space="preserve"> ou </w:t>
      </w:r>
      <w:r w:rsidR="00C909DA">
        <w:t>de personnes souffrant d’autres handicaps</w:t>
      </w:r>
      <w:r w:rsidR="00043CE3">
        <w:t>,</w:t>
      </w:r>
      <w:r>
        <w:t xml:space="preserve"> ont besoin de plus en plus de protection et de soins transfrontalie</w:t>
      </w:r>
      <w:r>
        <w:t xml:space="preserve">rs. </w:t>
      </w:r>
      <w:r w:rsidR="00043CE3">
        <w:t>Cependant</w:t>
      </w:r>
      <w:r>
        <w:t xml:space="preserve">, en raison de règles et de procédures différentes, il est souvent difficile pour les adultes vulnérables et leurs familles de faire reconnaître leurs droits et leurs mesures de protection </w:t>
      </w:r>
      <w:r w:rsidR="00043CE3">
        <w:t>lorsqu’ils traversent les frontières</w:t>
      </w:r>
      <w:r>
        <w:t xml:space="preserve">. </w:t>
      </w:r>
    </w:p>
    <w:p w14:paraId="6C8F44A3" w14:textId="77777777" w:rsidR="00597296" w:rsidRDefault="00597296">
      <w:pPr>
        <w:pStyle w:val="4Paragraphe"/>
        <w:spacing w:before="0"/>
        <w:ind w:left="992"/>
        <w:jc w:val="both"/>
      </w:pPr>
    </w:p>
    <w:p w14:paraId="24DF1F71" w14:textId="5B0E07E7" w:rsidR="00597296" w:rsidRDefault="002431E4">
      <w:pPr>
        <w:pStyle w:val="4Paragraphe"/>
        <w:spacing w:before="0"/>
        <w:ind w:left="992"/>
        <w:jc w:val="both"/>
      </w:pPr>
      <w:r>
        <w:t xml:space="preserve">La proposition de règlement vise à faciliter tant la détermination des juridictions compétentes dans les États membres et la loi applicable que la reconnaissance et l’exécution des mesures de protection prises dans un autre État membre. </w:t>
      </w:r>
      <w:r w:rsidR="005D7AD9">
        <w:t>L’initiative va dans le sens d’</w:t>
      </w:r>
      <w:r>
        <w:t>une numérisation accrue des procédures, notamment par la création de registres nationaux et leur interconnexion, ce que le CNUE défend depuis de nombreuses années. Enfin, l’introduction d’un certificat européen permettra aux représentants de pr</w:t>
      </w:r>
      <w:r>
        <w:t xml:space="preserve">ouver plus facilement leurs pouvoirs et de faire </w:t>
      </w:r>
      <w:r>
        <w:lastRenderedPageBreak/>
        <w:t>valoir leurs droits dans un autre État membre de l’UE.</w:t>
      </w:r>
    </w:p>
    <w:p w14:paraId="44AB38FE" w14:textId="77777777" w:rsidR="00597296" w:rsidRDefault="00597296">
      <w:pPr>
        <w:pStyle w:val="4Paragraphe"/>
        <w:spacing w:before="0"/>
        <w:ind w:left="0"/>
        <w:jc w:val="both"/>
      </w:pPr>
    </w:p>
    <w:p w14:paraId="2818D1F3" w14:textId="16FB8732" w:rsidR="00597296" w:rsidRDefault="00C909DA">
      <w:pPr>
        <w:pStyle w:val="4Paragraphe"/>
        <w:spacing w:before="0"/>
        <w:ind w:left="992"/>
        <w:jc w:val="both"/>
      </w:pPr>
      <w:r w:rsidRPr="00C909DA">
        <w:t>La protection des adultes vulnérables</w:t>
      </w:r>
      <w:r w:rsidR="002431E4">
        <w:t xml:space="preserve"> - </w:t>
      </w:r>
      <w:r w:rsidRPr="00C909DA">
        <w:t xml:space="preserve">qui est également l'une des priorités de la présidence de Peter Stelmaszczyk, président du CNUE cette année, qui considère le rôle des notaires comme celui de </w:t>
      </w:r>
      <w:r w:rsidR="00FB4E3C">
        <w:t>« </w:t>
      </w:r>
      <w:r w:rsidRPr="00C909DA">
        <w:t>gardiens des plus vulnérables dans la société</w:t>
      </w:r>
      <w:r w:rsidR="00FB4E3C">
        <w:t> »</w:t>
      </w:r>
      <w:r w:rsidR="002431E4">
        <w:t xml:space="preserve"> - </w:t>
      </w:r>
      <w:r w:rsidRPr="00C909DA">
        <w:t>est une question de la plus haute importance pour le CNUE.</w:t>
      </w:r>
      <w:r>
        <w:t xml:space="preserve"> Depuis plusieurs années, le CNUE est actif dans ce domaine et, par exemple, a continué à souligner l’importance de la mise en place d’un instrument juridique européen sur la protection des adultes vulnérables. La sensibilisation des citoyens et la facilitation de l’accès aux informations pertinentes ont toujours figuré parmi les priorités du CNUE. À cet égard, le CNUE fournit en permanence aux citoyens des informations utiles sur les mesures de protection des mineurs et des adultes dans les 22 pays membres du CNUE. </w:t>
      </w:r>
      <w:bookmarkEnd w:id="0"/>
    </w:p>
    <w:p w14:paraId="5B3B2580" w14:textId="77777777" w:rsidR="00597296" w:rsidRDefault="00597296">
      <w:pPr>
        <w:pStyle w:val="4Paragraphe"/>
        <w:spacing w:before="0"/>
        <w:ind w:left="992"/>
        <w:jc w:val="both"/>
      </w:pPr>
    </w:p>
    <w:p w14:paraId="76C12D44" w14:textId="77777777" w:rsidR="00597296" w:rsidRDefault="002431E4">
      <w:pPr>
        <w:pStyle w:val="4Paragraphe"/>
        <w:spacing w:before="0"/>
        <w:ind w:left="992"/>
        <w:jc w:val="both"/>
      </w:pPr>
      <w:r>
        <w:t xml:space="preserve">À l’automne de cette année, à l’occasion de la Journée européenne de la justice, le </w:t>
      </w:r>
      <w:r>
        <w:t>CNUE organisera une conférence sur la protection des adultes vulnérables. Des informations détaillées seront bientôt communiquées sur le site web du CNUE.</w:t>
      </w:r>
    </w:p>
    <w:p w14:paraId="071A919F" w14:textId="77777777" w:rsidR="00597296" w:rsidRDefault="00597296">
      <w:pPr>
        <w:pStyle w:val="4Paragraphe"/>
        <w:spacing w:before="0"/>
        <w:ind w:left="992"/>
        <w:jc w:val="both"/>
      </w:pPr>
    </w:p>
    <w:p w14:paraId="21512661" w14:textId="77777777" w:rsidR="00597296" w:rsidRDefault="00597296">
      <w:pPr>
        <w:pStyle w:val="4Paragraphe"/>
        <w:spacing w:before="0"/>
        <w:ind w:left="992"/>
        <w:jc w:val="both"/>
      </w:pPr>
    </w:p>
    <w:p w14:paraId="413A11C2" w14:textId="77777777" w:rsidR="00597296" w:rsidRDefault="002431E4">
      <w:pPr>
        <w:pStyle w:val="P68B1DB1-Normal2"/>
        <w:ind w:left="993"/>
      </w:pPr>
      <w:bookmarkStart w:id="1" w:name="_Hlk121324616"/>
      <w:r>
        <w:t>___</w:t>
      </w:r>
    </w:p>
    <w:p w14:paraId="6BC813FE" w14:textId="77777777" w:rsidR="00597296" w:rsidRDefault="00597296">
      <w:pPr>
        <w:ind w:left="993"/>
        <w:rPr>
          <w:rFonts w:ascii="Conduit ITC" w:hAnsi="Conduit ITC"/>
          <w:i/>
          <w:color w:val="0600EA"/>
          <w:sz w:val="24"/>
        </w:rPr>
      </w:pPr>
    </w:p>
    <w:p w14:paraId="75B3F347" w14:textId="6EAEAB59" w:rsidR="00597296" w:rsidRDefault="002431E4">
      <w:pPr>
        <w:pStyle w:val="P68B1DB1-Normal3"/>
        <w:spacing w:before="121" w:line="183" w:lineRule="exact"/>
        <w:ind w:left="993"/>
        <w:jc w:val="both"/>
      </w:pPr>
      <w:r>
        <w:t>Pour plus d’informations, veuillez contacter</w:t>
      </w:r>
      <w:r w:rsidR="00981179">
        <w:t> </w:t>
      </w:r>
      <w:r>
        <w:t>:</w:t>
      </w:r>
    </w:p>
    <w:p w14:paraId="1388DC50" w14:textId="77777777" w:rsidR="00597296" w:rsidRDefault="002431E4">
      <w:pPr>
        <w:pStyle w:val="P68B1DB1-Normal4"/>
        <w:spacing w:before="121" w:line="183" w:lineRule="exact"/>
        <w:ind w:left="993"/>
        <w:jc w:val="both"/>
      </w:pPr>
      <w:r>
        <w:t>Guillaume Casanova</w:t>
      </w:r>
    </w:p>
    <w:p w14:paraId="0478A3BC" w14:textId="2D0D1FBF" w:rsidR="00597296" w:rsidRDefault="00981179">
      <w:pPr>
        <w:pStyle w:val="P68B1DB1-Normal5"/>
        <w:spacing w:before="121" w:line="183" w:lineRule="exact"/>
        <w:ind w:left="993"/>
        <w:jc w:val="both"/>
      </w:pPr>
      <w:r>
        <w:t>Chargé de communication</w:t>
      </w:r>
    </w:p>
    <w:p w14:paraId="232E1F64" w14:textId="3BCFBFA6" w:rsidR="00597296" w:rsidRDefault="002431E4">
      <w:pPr>
        <w:spacing w:before="121" w:line="183" w:lineRule="exact"/>
        <w:ind w:left="993"/>
        <w:jc w:val="both"/>
        <w:rPr>
          <w:rFonts w:ascii="Conduit ITC" w:hAnsi="Conduit ITC"/>
          <w:color w:val="404040"/>
          <w:sz w:val="20"/>
        </w:rPr>
      </w:pPr>
      <w:hyperlink r:id="rId8" w:history="1">
        <w:r>
          <w:rPr>
            <w:rStyle w:val="Hyperlink"/>
            <w:rFonts w:ascii="Conduit ITC" w:hAnsi="Conduit ITC"/>
            <w:sz w:val="20"/>
          </w:rPr>
          <w:t>g.casanova@cnue.be</w:t>
        </w:r>
      </w:hyperlink>
      <w:r>
        <w:rPr>
          <w:rFonts w:ascii="Conduit ITC" w:hAnsi="Conduit ITC"/>
          <w:color w:val="404040"/>
          <w:sz w:val="20"/>
        </w:rPr>
        <w:t xml:space="preserve"> - T. + 3225139529</w:t>
      </w:r>
    </w:p>
    <w:bookmarkEnd w:id="1"/>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6"/>
      </w:tblGrid>
      <w:tr w:rsidR="00597296" w14:paraId="61302DC2" w14:textId="77777777">
        <w:tc>
          <w:tcPr>
            <w:tcW w:w="9116" w:type="dxa"/>
            <w:tcBorders>
              <w:top w:val="nil"/>
              <w:left w:val="nil"/>
              <w:bottom w:val="nil"/>
              <w:right w:val="nil"/>
            </w:tcBorders>
          </w:tcPr>
          <w:p w14:paraId="3B770CBB" w14:textId="77777777" w:rsidR="00597296" w:rsidRDefault="00597296">
            <w:pPr>
              <w:spacing w:before="121" w:line="183" w:lineRule="exact"/>
              <w:rPr>
                <w:rFonts w:ascii="Conduit ITC" w:hAnsi="Conduit ITC"/>
                <w:sz w:val="20"/>
              </w:rPr>
            </w:pPr>
          </w:p>
        </w:tc>
      </w:tr>
    </w:tbl>
    <w:p w14:paraId="105864CA" w14:textId="77777777" w:rsidR="00597296" w:rsidRDefault="002431E4">
      <w:pPr>
        <w:pStyle w:val="5Paragraphebleu"/>
        <w:tabs>
          <w:tab w:val="left" w:pos="3828"/>
        </w:tabs>
        <w:spacing w:line="480" w:lineRule="auto"/>
        <w:ind w:left="993"/>
      </w:pPr>
      <w:r>
        <w:t>___</w:t>
      </w:r>
    </w:p>
    <w:p w14:paraId="5A7F7238" w14:textId="77777777" w:rsidR="00597296" w:rsidRDefault="00597296">
      <w:pPr>
        <w:pStyle w:val="3Titreparagraphe"/>
        <w:spacing w:before="0" w:beforeAutospacing="0"/>
        <w:ind w:left="992"/>
        <w:jc w:val="both"/>
      </w:pPr>
      <w:bookmarkStart w:id="2" w:name="_Hlk121324718"/>
    </w:p>
    <w:p w14:paraId="0E44808E" w14:textId="77777777" w:rsidR="00597296" w:rsidRDefault="00597296">
      <w:pPr>
        <w:pStyle w:val="3Titreparagraphe"/>
        <w:spacing w:before="0" w:beforeAutospacing="0"/>
        <w:ind w:left="992"/>
        <w:jc w:val="both"/>
      </w:pPr>
    </w:p>
    <w:p w14:paraId="75047357" w14:textId="0D774682" w:rsidR="00597296" w:rsidRDefault="002431E4">
      <w:pPr>
        <w:pStyle w:val="3Titreparagraphe"/>
        <w:spacing w:before="0" w:beforeAutospacing="0"/>
        <w:ind w:left="992"/>
        <w:jc w:val="both"/>
      </w:pPr>
      <w:r>
        <w:t>_ Le CNUE en bref</w:t>
      </w:r>
    </w:p>
    <w:p w14:paraId="21BE19D9" w14:textId="30C7EE7C" w:rsidR="00981179" w:rsidRDefault="00981179" w:rsidP="00981179">
      <w:pPr>
        <w:pStyle w:val="5Paragraphebleu"/>
        <w:tabs>
          <w:tab w:val="left" w:pos="3828"/>
        </w:tabs>
        <w:ind w:left="993"/>
        <w:jc w:val="both"/>
        <w:rPr>
          <w:bCs/>
          <w:iCs/>
          <w:lang w:val="en-US"/>
        </w:rPr>
      </w:pPr>
      <w:r w:rsidRPr="001C1C8C">
        <w:rPr>
          <w:b/>
          <w:iCs/>
          <w:lang w:val="fr-BE"/>
        </w:rPr>
        <w:t xml:space="preserve">Le Conseil des </w:t>
      </w:r>
      <w:r>
        <w:rPr>
          <w:b/>
          <w:iCs/>
          <w:lang w:val="fr-BE"/>
        </w:rPr>
        <w:t>N</w:t>
      </w:r>
      <w:r w:rsidRPr="001C1C8C">
        <w:rPr>
          <w:b/>
          <w:iCs/>
          <w:lang w:val="fr-BE"/>
        </w:rPr>
        <w:t xml:space="preserve">otariats de l'Union </w:t>
      </w:r>
      <w:r>
        <w:rPr>
          <w:b/>
          <w:iCs/>
          <w:lang w:val="fr-BE"/>
        </w:rPr>
        <w:t>E</w:t>
      </w:r>
      <w:r w:rsidRPr="001C1C8C">
        <w:rPr>
          <w:b/>
          <w:iCs/>
          <w:lang w:val="fr-BE"/>
        </w:rPr>
        <w:t xml:space="preserve">uropéenne </w:t>
      </w:r>
      <w:r w:rsidRPr="001C1C8C">
        <w:rPr>
          <w:bCs/>
          <w:iCs/>
          <w:lang w:val="fr-BE"/>
        </w:rPr>
        <w:t>(CNUE) est l'organ</w:t>
      </w:r>
      <w:r>
        <w:rPr>
          <w:bCs/>
          <w:iCs/>
          <w:lang w:val="fr-BE"/>
        </w:rPr>
        <w:t>isme</w:t>
      </w:r>
      <w:r w:rsidRPr="001C1C8C">
        <w:rPr>
          <w:bCs/>
          <w:iCs/>
          <w:lang w:val="fr-BE"/>
        </w:rPr>
        <w:t xml:space="preserve"> officiel de représentation de la profession notariale auprès des institutions européennes. Il regroupe les notariats des 22 Etats membres qui connaissent cette institution : Allemagne, Autriche, Belgique, </w:t>
      </w:r>
      <w:r w:rsidRPr="001C1C8C">
        <w:rPr>
          <w:bCs/>
          <w:iCs/>
          <w:lang w:val="fr-BE"/>
        </w:rPr>
        <w:lastRenderedPageBreak/>
        <w:t xml:space="preserve">Bulgarie, Croatie, Espagne, Estonie, France, Grèce, Hongrie, Italie, Lettonie, Lituanie, Luxembourg, Malte, Pays-Bas, Pologne, Portugal, République tchèque, Roumanie, Slovaquie et Slovénie. Les notariats de Macédoine du Nord, du Monténégro, de Serbie, de Turquie et d'Ukraine sont membres observateurs. </w:t>
      </w:r>
      <w:r w:rsidRPr="001C1C8C">
        <w:rPr>
          <w:bCs/>
          <w:iCs/>
          <w:lang w:val="en-US"/>
        </w:rPr>
        <w:t xml:space="preserve">Le CNUE </w:t>
      </w:r>
      <w:proofErr w:type="spellStart"/>
      <w:r w:rsidRPr="001C1C8C">
        <w:rPr>
          <w:bCs/>
          <w:iCs/>
          <w:lang w:val="en-US"/>
        </w:rPr>
        <w:t>représente</w:t>
      </w:r>
      <w:proofErr w:type="spellEnd"/>
      <w:r w:rsidRPr="001C1C8C">
        <w:rPr>
          <w:bCs/>
          <w:iCs/>
          <w:lang w:val="en-US"/>
        </w:rPr>
        <w:t xml:space="preserve"> plus de 45 000 </w:t>
      </w:r>
      <w:proofErr w:type="spellStart"/>
      <w:r w:rsidRPr="001C1C8C">
        <w:rPr>
          <w:bCs/>
          <w:iCs/>
          <w:lang w:val="en-US"/>
        </w:rPr>
        <w:t>notaires</w:t>
      </w:r>
      <w:proofErr w:type="spellEnd"/>
      <w:r w:rsidRPr="001C1C8C">
        <w:rPr>
          <w:bCs/>
          <w:iCs/>
          <w:lang w:val="en-US"/>
        </w:rPr>
        <w:t xml:space="preserve"> et 200 000 </w:t>
      </w:r>
      <w:proofErr w:type="spellStart"/>
      <w:r>
        <w:rPr>
          <w:bCs/>
          <w:iCs/>
          <w:lang w:val="en-US"/>
        </w:rPr>
        <w:t>employés</w:t>
      </w:r>
      <w:proofErr w:type="spellEnd"/>
      <w:r>
        <w:rPr>
          <w:bCs/>
          <w:iCs/>
          <w:lang w:val="en-US"/>
        </w:rPr>
        <w:t>.</w:t>
      </w:r>
    </w:p>
    <w:p w14:paraId="46C9D3CE" w14:textId="14F25CD2" w:rsidR="00597296" w:rsidRDefault="00597296">
      <w:pPr>
        <w:pStyle w:val="5Paragraphebleu"/>
        <w:tabs>
          <w:tab w:val="left" w:pos="3828"/>
        </w:tabs>
        <w:ind w:left="993"/>
        <w:jc w:val="both"/>
      </w:pPr>
    </w:p>
    <w:p w14:paraId="79E6BDE5" w14:textId="31E9DCDC" w:rsidR="00597296" w:rsidRDefault="002431E4">
      <w:pPr>
        <w:pStyle w:val="5Paragraphebleu"/>
        <w:tabs>
          <w:tab w:val="left" w:pos="3828"/>
        </w:tabs>
        <w:spacing w:before="0"/>
        <w:ind w:left="992"/>
        <w:jc w:val="both"/>
        <w:sectPr w:rsidR="00597296" w:rsidSect="003E475A">
          <w:headerReference w:type="default" r:id="rId9"/>
          <w:footerReference w:type="default" r:id="rId10"/>
          <w:type w:val="continuous"/>
          <w:pgSz w:w="12240" w:h="15840"/>
          <w:pgMar w:top="993" w:right="460" w:bottom="0" w:left="440" w:header="720" w:footer="625" w:gutter="0"/>
          <w:cols w:space="720"/>
          <w:docGrid w:linePitch="299"/>
        </w:sectPr>
      </w:pPr>
      <w:r>
        <w:t>___</w:t>
      </w:r>
      <w:bookmarkEnd w:id="2"/>
    </w:p>
    <w:p w14:paraId="240FF9A5" w14:textId="77777777" w:rsidR="00597296" w:rsidRDefault="00597296">
      <w:pPr>
        <w:spacing w:line="206" w:lineRule="exact"/>
        <w:rPr>
          <w:sz w:val="18"/>
        </w:rPr>
      </w:pPr>
    </w:p>
    <w:sectPr w:rsidR="00597296">
      <w:headerReference w:type="default" r:id="rId11"/>
      <w:type w:val="continuous"/>
      <w:pgSz w:w="12240" w:h="15840"/>
      <w:pgMar w:top="200" w:right="460" w:bottom="0" w:left="440" w:header="598" w:footer="0" w:gutter="0"/>
      <w:cols w:num="3" w:space="720" w:equalWidth="0">
        <w:col w:w="4253" w:space="40"/>
        <w:col w:w="2913" w:space="39"/>
        <w:col w:w="40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4400" w14:textId="77777777" w:rsidR="00B03A75" w:rsidRDefault="00B03A75">
      <w:r>
        <w:separator/>
      </w:r>
    </w:p>
  </w:endnote>
  <w:endnote w:type="continuationSeparator" w:id="0">
    <w:p w14:paraId="085F5DC0" w14:textId="77777777" w:rsidR="00B03A75" w:rsidRDefault="00B0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legoo">
    <w:altName w:val="Nirmala UI"/>
    <w:charset w:val="00"/>
    <w:family w:val="auto"/>
    <w:pitch w:val="variable"/>
    <w:sig w:usb0="00000001" w:usb1="5000204B" w:usb2="00000000" w:usb3="00000000" w:csb0="00000093" w:csb1="00000000"/>
  </w:font>
  <w:font w:name="Conduit ITC">
    <w:altName w:val="Calibri"/>
    <w:charset w:val="00"/>
    <w:family w:val="auto"/>
    <w:pitch w:val="variable"/>
    <w:sig w:usb0="A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5158" w14:textId="77777777" w:rsidR="00981179" w:rsidRPr="007F7FCD" w:rsidRDefault="00981179" w:rsidP="00981179">
    <w:pPr>
      <w:tabs>
        <w:tab w:val="left" w:pos="10348"/>
      </w:tabs>
      <w:ind w:left="993"/>
      <w:rPr>
        <w:rFonts w:ascii="Conduit ITC" w:hAnsi="Conduit ITC"/>
        <w:color w:val="0600EA"/>
        <w:sz w:val="20"/>
        <w:lang w:val="fr-BE"/>
      </w:rPr>
    </w:pPr>
    <w:r w:rsidRPr="007F7FCD">
      <w:rPr>
        <w:rFonts w:ascii="Conduit ITC" w:hAnsi="Conduit ITC"/>
        <w:color w:val="0600EA"/>
        <w:sz w:val="20"/>
        <w:lang w:val="fr-BE"/>
      </w:rPr>
      <w:t>_____________________________________________________________________________________________</w:t>
    </w:r>
  </w:p>
  <w:p w14:paraId="53AD7861" w14:textId="77777777" w:rsidR="00981179" w:rsidRPr="00DF23DD" w:rsidRDefault="00981179" w:rsidP="00981179">
    <w:pPr>
      <w:spacing w:before="121" w:line="183" w:lineRule="exact"/>
      <w:ind w:left="993"/>
      <w:rPr>
        <w:rFonts w:ascii="Conduit ITC" w:hAnsi="Conduit ITC"/>
        <w:b/>
        <w:sz w:val="20"/>
        <w:lang w:val="fr-BE"/>
      </w:rPr>
    </w:pPr>
    <w:r w:rsidRPr="00DF23DD">
      <w:rPr>
        <w:rFonts w:ascii="Conduit ITC" w:hAnsi="Conduit ITC"/>
        <w:b/>
        <w:color w:val="2341D6"/>
        <w:spacing w:val="-2"/>
        <w:sz w:val="20"/>
        <w:lang w:val="fr-BE"/>
      </w:rPr>
      <w:t>CONSEIL DES NOTARIATS DE L</w:t>
    </w:r>
    <w:r>
      <w:rPr>
        <w:rFonts w:ascii="Conduit ITC" w:hAnsi="Conduit ITC"/>
        <w:b/>
        <w:color w:val="2341D6"/>
        <w:spacing w:val="-2"/>
        <w:sz w:val="20"/>
        <w:lang w:val="fr-BE"/>
      </w:rPr>
      <w:t>’UNION EUROPÉENNE</w:t>
    </w:r>
  </w:p>
  <w:p w14:paraId="40F01228" w14:textId="77777777" w:rsidR="00981179" w:rsidRPr="00DF23DD" w:rsidRDefault="00981179" w:rsidP="00981179">
    <w:pPr>
      <w:spacing w:line="183" w:lineRule="exact"/>
      <w:ind w:left="993"/>
      <w:rPr>
        <w:rFonts w:ascii="Conduit ITC" w:hAnsi="Conduit ITC"/>
        <w:sz w:val="20"/>
        <w:lang w:val="fr-BE"/>
      </w:rPr>
    </w:pPr>
    <w:r w:rsidRPr="00DF23DD">
      <w:rPr>
        <w:rFonts w:ascii="Conduit ITC" w:hAnsi="Conduit ITC"/>
        <w:color w:val="404040"/>
        <w:sz w:val="20"/>
        <w:lang w:val="fr-BE"/>
      </w:rPr>
      <w:t xml:space="preserve">Avenue de </w:t>
    </w:r>
    <w:proofErr w:type="spellStart"/>
    <w:r w:rsidRPr="00DF23DD">
      <w:rPr>
        <w:rFonts w:ascii="Conduit ITC" w:hAnsi="Conduit ITC"/>
        <w:color w:val="404040"/>
        <w:sz w:val="20"/>
        <w:lang w:val="fr-BE"/>
      </w:rPr>
      <w:t>Cortenbergh</w:t>
    </w:r>
    <w:proofErr w:type="spellEnd"/>
    <w:r w:rsidRPr="00DF23DD">
      <w:rPr>
        <w:rFonts w:ascii="Conduit ITC" w:hAnsi="Conduit ITC"/>
        <w:color w:val="404040"/>
        <w:sz w:val="20"/>
        <w:lang w:val="fr-BE"/>
      </w:rPr>
      <w:t xml:space="preserve">, 120 - B - 1000 Bruxelles </w:t>
    </w:r>
  </w:p>
  <w:p w14:paraId="54F5581B" w14:textId="41A4E48C" w:rsidR="00981179" w:rsidRPr="00DF23DD" w:rsidRDefault="00981179" w:rsidP="00981179">
    <w:pPr>
      <w:spacing w:before="1" w:after="80"/>
      <w:ind w:left="992" w:right="3839"/>
      <w:rPr>
        <w:rFonts w:ascii="Conduit ITC" w:hAnsi="Conduit ITC"/>
        <w:color w:val="404040"/>
        <w:spacing w:val="-6"/>
        <w:sz w:val="20"/>
        <w:lang w:val="fr-BE"/>
      </w:rPr>
    </w:pPr>
    <w:r>
      <w:rPr>
        <w:rFonts w:ascii="Conduit ITC" w:hAnsi="Conduit ITC"/>
        <w:noProof/>
        <w:color w:val="404040"/>
        <w:spacing w:val="-6"/>
        <w:sz w:val="20"/>
        <w:lang w:val="fr-FR" w:eastAsia="fr-FR"/>
      </w:rPr>
      <w:drawing>
        <wp:anchor distT="0" distB="0" distL="114300" distR="114300" simplePos="0" relativeHeight="251663872" behindDoc="0" locked="0" layoutInCell="1" allowOverlap="1" wp14:anchorId="42C914D0" wp14:editId="216BDA5D">
          <wp:simplePos x="0" y="0"/>
          <wp:positionH relativeFrom="column">
            <wp:posOffset>598805</wp:posOffset>
          </wp:positionH>
          <wp:positionV relativeFrom="paragraph">
            <wp:posOffset>187960</wp:posOffset>
          </wp:positionV>
          <wp:extent cx="196215" cy="196215"/>
          <wp:effectExtent l="0" t="0" r="0" b="0"/>
          <wp:wrapNone/>
          <wp:docPr id="3" name="Picture 3" descr="A blue bird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ird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pic:spPr>
              </pic:pic>
            </a:graphicData>
          </a:graphic>
          <wp14:sizeRelH relativeFrom="page">
            <wp14:pctWidth>0</wp14:pctWidth>
          </wp14:sizeRelH>
          <wp14:sizeRelV relativeFrom="page">
            <wp14:pctHeight>0</wp14:pctHeight>
          </wp14:sizeRelV>
        </wp:anchor>
      </w:drawing>
    </w:r>
    <w:r w:rsidRPr="00DF23DD">
      <w:rPr>
        <w:rFonts w:ascii="Conduit ITC" w:hAnsi="Conduit ITC"/>
        <w:color w:val="404040"/>
        <w:sz w:val="20"/>
        <w:lang w:val="fr-BE"/>
      </w:rPr>
      <w:t>T. +32</w:t>
    </w:r>
    <w:r w:rsidRPr="00DF23DD">
      <w:rPr>
        <w:rFonts w:ascii="Conduit ITC" w:hAnsi="Conduit ITC"/>
        <w:color w:val="404040"/>
        <w:spacing w:val="-4"/>
        <w:sz w:val="20"/>
        <w:lang w:val="fr-BE"/>
      </w:rPr>
      <w:t xml:space="preserve"> </w:t>
    </w:r>
    <w:r w:rsidRPr="00DF23DD">
      <w:rPr>
        <w:rFonts w:ascii="Conduit ITC" w:hAnsi="Conduit ITC"/>
        <w:color w:val="404040"/>
        <w:sz w:val="20"/>
        <w:lang w:val="fr-BE"/>
      </w:rPr>
      <w:t>2</w:t>
    </w:r>
    <w:r w:rsidRPr="00DF23DD">
      <w:rPr>
        <w:rFonts w:ascii="Conduit ITC" w:hAnsi="Conduit ITC"/>
        <w:color w:val="404040"/>
        <w:spacing w:val="-5"/>
        <w:sz w:val="20"/>
        <w:lang w:val="fr-BE"/>
      </w:rPr>
      <w:t xml:space="preserve"> </w:t>
    </w:r>
    <w:r w:rsidRPr="00DF23DD">
      <w:rPr>
        <w:rFonts w:ascii="Conduit ITC" w:hAnsi="Conduit ITC"/>
        <w:color w:val="404040"/>
        <w:sz w:val="20"/>
        <w:lang w:val="fr-BE"/>
      </w:rPr>
      <w:t>513</w:t>
    </w:r>
    <w:r w:rsidRPr="00DF23DD">
      <w:rPr>
        <w:rFonts w:ascii="Conduit ITC" w:hAnsi="Conduit ITC"/>
        <w:color w:val="404040"/>
        <w:spacing w:val="-4"/>
        <w:sz w:val="20"/>
        <w:lang w:val="fr-BE"/>
      </w:rPr>
      <w:t xml:space="preserve"> </w:t>
    </w:r>
    <w:r w:rsidRPr="00DF23DD">
      <w:rPr>
        <w:rFonts w:ascii="Conduit ITC" w:hAnsi="Conduit ITC"/>
        <w:color w:val="404040"/>
        <w:sz w:val="20"/>
        <w:lang w:val="fr-BE"/>
      </w:rPr>
      <w:t>95</w:t>
    </w:r>
    <w:r w:rsidRPr="00DF23DD">
      <w:rPr>
        <w:rFonts w:ascii="Conduit ITC" w:hAnsi="Conduit ITC"/>
        <w:color w:val="404040"/>
        <w:spacing w:val="-4"/>
        <w:sz w:val="20"/>
        <w:lang w:val="fr-BE"/>
      </w:rPr>
      <w:t xml:space="preserve"> </w:t>
    </w:r>
    <w:r w:rsidRPr="00DF23DD">
      <w:rPr>
        <w:rFonts w:ascii="Conduit ITC" w:hAnsi="Conduit ITC"/>
        <w:color w:val="404040"/>
        <w:sz w:val="20"/>
        <w:lang w:val="fr-BE"/>
      </w:rPr>
      <w:t xml:space="preserve">29  -  </w:t>
    </w:r>
    <w:hyperlink r:id="rId2" w:history="1">
      <w:r w:rsidRPr="00DF23DD">
        <w:rPr>
          <w:rStyle w:val="Hyperlink"/>
          <w:rFonts w:ascii="Conduit ITC" w:hAnsi="Conduit ITC"/>
          <w:sz w:val="20"/>
          <w:lang w:val="fr-BE"/>
        </w:rPr>
        <w:t>info@cnue.be</w:t>
      </w:r>
    </w:hyperlink>
    <w:r w:rsidRPr="00DF23DD">
      <w:rPr>
        <w:rFonts w:ascii="Conduit ITC" w:hAnsi="Conduit ITC"/>
        <w:color w:val="404040"/>
        <w:sz w:val="20"/>
        <w:lang w:val="fr-BE"/>
      </w:rPr>
      <w:t xml:space="preserve">  -  </w:t>
    </w:r>
    <w:hyperlink r:id="rId3" w:history="1">
      <w:r w:rsidRPr="00DF23DD">
        <w:rPr>
          <w:rStyle w:val="Hyperlink"/>
          <w:rFonts w:ascii="Conduit ITC" w:hAnsi="Conduit ITC"/>
          <w:sz w:val="20"/>
          <w:lang w:val="fr-BE"/>
        </w:rPr>
        <w:t>www.notariesofeurope.eu</w:t>
      </w:r>
    </w:hyperlink>
    <w:r w:rsidRPr="00DF23DD">
      <w:rPr>
        <w:rFonts w:ascii="Conduit ITC" w:hAnsi="Conduit ITC"/>
        <w:color w:val="404040"/>
        <w:spacing w:val="-6"/>
        <w:sz w:val="20"/>
        <w:lang w:val="fr-BE"/>
      </w:rPr>
      <w:t xml:space="preserve"> </w:t>
    </w:r>
  </w:p>
  <w:p w14:paraId="6341D9E6" w14:textId="77777777" w:rsidR="00981179" w:rsidRPr="00DF23DD" w:rsidRDefault="00981179" w:rsidP="00981179">
    <w:pPr>
      <w:spacing w:before="1"/>
      <w:ind w:left="993" w:right="3838"/>
      <w:rPr>
        <w:rFonts w:ascii="Conduit ITC" w:hAnsi="Conduit ITC"/>
        <w:color w:val="404040"/>
        <w:spacing w:val="-6"/>
        <w:sz w:val="20"/>
        <w:lang w:val="fr-BE"/>
      </w:rPr>
    </w:pPr>
    <w:r>
      <w:rPr>
        <w:rFonts w:ascii="Conduit ITC" w:hAnsi="Conduit ITC"/>
        <w:color w:val="404040"/>
        <w:spacing w:val="-6"/>
        <w:sz w:val="20"/>
        <w:lang w:val="fr-BE"/>
      </w:rPr>
      <w:t xml:space="preserve"> </w:t>
    </w:r>
    <w:r>
      <w:rPr>
        <w:rFonts w:ascii="Conduit ITC" w:hAnsi="Conduit ITC"/>
        <w:color w:val="404040"/>
        <w:spacing w:val="-6"/>
        <w:sz w:val="20"/>
        <w:lang w:val="fr-BE"/>
      </w:rPr>
      <w:tab/>
    </w:r>
    <w:hyperlink r:id="rId4" w:history="1">
      <w:r w:rsidRPr="00410A4D">
        <w:rPr>
          <w:rStyle w:val="Hyperlink"/>
          <w:rFonts w:ascii="Conduit ITC" w:hAnsi="Conduit ITC"/>
          <w:spacing w:val="-6"/>
          <w:sz w:val="20"/>
          <w:u w:val="none"/>
        </w:rPr>
        <w:t>@EUnotaries</w:t>
      </w:r>
    </w:hyperlink>
  </w:p>
  <w:p w14:paraId="0ED025AC" w14:textId="3C03164F" w:rsidR="00597296" w:rsidRDefault="0059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817E" w14:textId="77777777" w:rsidR="00B03A75" w:rsidRDefault="00B03A75">
      <w:r>
        <w:separator/>
      </w:r>
    </w:p>
  </w:footnote>
  <w:footnote w:type="continuationSeparator" w:id="0">
    <w:p w14:paraId="421D8EB2" w14:textId="77777777" w:rsidR="00B03A75" w:rsidRDefault="00B0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1089" w14:textId="6468FA5F" w:rsidR="00597296" w:rsidRDefault="00981179">
    <w:pPr>
      <w:pStyle w:val="Header"/>
    </w:pPr>
    <w:r>
      <w:rPr>
        <w:noProof/>
      </w:rPr>
      <w:drawing>
        <wp:anchor distT="0" distB="0" distL="114300" distR="114300" simplePos="0" relativeHeight="251661824" behindDoc="0" locked="0" layoutInCell="1" allowOverlap="1" wp14:anchorId="381DDC34" wp14:editId="2B107E3E">
          <wp:simplePos x="0" y="0"/>
          <wp:positionH relativeFrom="margin">
            <wp:align>center</wp:align>
          </wp:positionH>
          <wp:positionV relativeFrom="paragraph">
            <wp:posOffset>-219075</wp:posOffset>
          </wp:positionV>
          <wp:extent cx="757174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430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745C" w14:textId="77777777" w:rsidR="00597296" w:rsidRDefault="005972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4.75pt" o:bullet="t">
        <v:imagedata r:id="rId1" o:title="petite_etoile_cerise_notaireeurope"/>
      </v:shape>
    </w:pict>
  </w:numPicBullet>
  <w:numPicBullet w:numPicBulletId="1">
    <w:pict>
      <v:shape id="_x0000_i1027" type="#_x0000_t75" style="width:25.5pt;height:24.75pt" o:bullet="t">
        <v:imagedata r:id="rId2" o:title="petite_etoile_bleu_notaireeurope"/>
      </v:shape>
    </w:pict>
  </w:numPicBullet>
  <w:abstractNum w:abstractNumId="0" w15:restartNumberingAfterBreak="0">
    <w:nsid w:val="0096243E"/>
    <w:multiLevelType w:val="hybridMultilevel"/>
    <w:tmpl w:val="4F1E97D6"/>
    <w:lvl w:ilvl="0" w:tplc="63FE8440">
      <w:start w:val="1"/>
      <w:numFmt w:val="bullet"/>
      <w:lvlText w:val=""/>
      <w:lvlPicBulletId w:val="0"/>
      <w:lvlJc w:val="left"/>
      <w:pPr>
        <w:ind w:left="1713" w:hanging="360"/>
      </w:pPr>
      <w:rPr>
        <w:rFonts w:ascii="Symbol" w:hAnsi="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3D843418"/>
    <w:multiLevelType w:val="hybridMultilevel"/>
    <w:tmpl w:val="91D41C18"/>
    <w:lvl w:ilvl="0" w:tplc="C246B10A">
      <w:start w:val="1"/>
      <w:numFmt w:val="bullet"/>
      <w:lvlText w:val=""/>
      <w:lvlPicBulletId w:val="1"/>
      <w:lvlJc w:val="left"/>
      <w:pPr>
        <w:ind w:left="1713" w:hanging="360"/>
      </w:pPr>
      <w:rPr>
        <w:rFonts w:ascii="Symbol" w:hAnsi="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4C9701D8"/>
    <w:multiLevelType w:val="hybridMultilevel"/>
    <w:tmpl w:val="C0421BD8"/>
    <w:lvl w:ilvl="0" w:tplc="85CAF5DE">
      <w:numFmt w:val="bullet"/>
      <w:lvlText w:val=""/>
      <w:lvlJc w:val="left"/>
      <w:pPr>
        <w:ind w:left="2440" w:hanging="440"/>
      </w:pPr>
      <w:rPr>
        <w:rFonts w:ascii="Symbol" w:eastAsia="Symbol" w:hAnsi="Symbol" w:cs="Symbol" w:hint="default"/>
        <w:b/>
        <w:bCs/>
        <w:i w:val="0"/>
        <w:iCs w:val="0"/>
        <w:color w:val="003CD5"/>
        <w:w w:val="99"/>
        <w:sz w:val="24"/>
        <w:szCs w:val="24"/>
        <w:lang w:val="en-US" w:eastAsia="en-US" w:bidi="ar-SA"/>
      </w:rPr>
    </w:lvl>
    <w:lvl w:ilvl="1" w:tplc="CE04F556">
      <w:numFmt w:val="bullet"/>
      <w:lvlText w:val="•"/>
      <w:lvlJc w:val="left"/>
      <w:pPr>
        <w:ind w:left="3330" w:hanging="440"/>
      </w:pPr>
      <w:rPr>
        <w:rFonts w:hint="default"/>
        <w:lang w:val="en-US" w:eastAsia="en-US" w:bidi="ar-SA"/>
      </w:rPr>
    </w:lvl>
    <w:lvl w:ilvl="2" w:tplc="6DC830FC">
      <w:numFmt w:val="bullet"/>
      <w:lvlText w:val="•"/>
      <w:lvlJc w:val="left"/>
      <w:pPr>
        <w:ind w:left="4220" w:hanging="440"/>
      </w:pPr>
      <w:rPr>
        <w:rFonts w:hint="default"/>
        <w:lang w:val="en-US" w:eastAsia="en-US" w:bidi="ar-SA"/>
      </w:rPr>
    </w:lvl>
    <w:lvl w:ilvl="3" w:tplc="A2841D4E">
      <w:numFmt w:val="bullet"/>
      <w:lvlText w:val="•"/>
      <w:lvlJc w:val="left"/>
      <w:pPr>
        <w:ind w:left="5110" w:hanging="440"/>
      </w:pPr>
      <w:rPr>
        <w:rFonts w:hint="default"/>
        <w:lang w:val="en-US" w:eastAsia="en-US" w:bidi="ar-SA"/>
      </w:rPr>
    </w:lvl>
    <w:lvl w:ilvl="4" w:tplc="7BB8BA3A">
      <w:numFmt w:val="bullet"/>
      <w:lvlText w:val="•"/>
      <w:lvlJc w:val="left"/>
      <w:pPr>
        <w:ind w:left="6000" w:hanging="440"/>
      </w:pPr>
      <w:rPr>
        <w:rFonts w:hint="default"/>
        <w:lang w:val="en-US" w:eastAsia="en-US" w:bidi="ar-SA"/>
      </w:rPr>
    </w:lvl>
    <w:lvl w:ilvl="5" w:tplc="D7B02F08">
      <w:numFmt w:val="bullet"/>
      <w:lvlText w:val="•"/>
      <w:lvlJc w:val="left"/>
      <w:pPr>
        <w:ind w:left="6890" w:hanging="440"/>
      </w:pPr>
      <w:rPr>
        <w:rFonts w:hint="default"/>
        <w:lang w:val="en-US" w:eastAsia="en-US" w:bidi="ar-SA"/>
      </w:rPr>
    </w:lvl>
    <w:lvl w:ilvl="6" w:tplc="BA502B96">
      <w:numFmt w:val="bullet"/>
      <w:lvlText w:val="•"/>
      <w:lvlJc w:val="left"/>
      <w:pPr>
        <w:ind w:left="7780" w:hanging="440"/>
      </w:pPr>
      <w:rPr>
        <w:rFonts w:hint="default"/>
        <w:lang w:val="en-US" w:eastAsia="en-US" w:bidi="ar-SA"/>
      </w:rPr>
    </w:lvl>
    <w:lvl w:ilvl="7" w:tplc="627A5310">
      <w:numFmt w:val="bullet"/>
      <w:lvlText w:val="•"/>
      <w:lvlJc w:val="left"/>
      <w:pPr>
        <w:ind w:left="8670" w:hanging="440"/>
      </w:pPr>
      <w:rPr>
        <w:rFonts w:hint="default"/>
        <w:lang w:val="en-US" w:eastAsia="en-US" w:bidi="ar-SA"/>
      </w:rPr>
    </w:lvl>
    <w:lvl w:ilvl="8" w:tplc="147655A8">
      <w:numFmt w:val="bullet"/>
      <w:lvlText w:val="•"/>
      <w:lvlJc w:val="left"/>
      <w:pPr>
        <w:ind w:left="9560" w:hanging="440"/>
      </w:pPr>
      <w:rPr>
        <w:rFonts w:hint="default"/>
        <w:lang w:val="en-US" w:eastAsia="en-US" w:bidi="ar-SA"/>
      </w:rPr>
    </w:lvl>
  </w:abstractNum>
  <w:abstractNum w:abstractNumId="3" w15:restartNumberingAfterBreak="0">
    <w:nsid w:val="682647E5"/>
    <w:multiLevelType w:val="hybridMultilevel"/>
    <w:tmpl w:val="71D6BB98"/>
    <w:lvl w:ilvl="0" w:tplc="63FE8440">
      <w:start w:val="1"/>
      <w:numFmt w:val="bullet"/>
      <w:lvlText w:val=""/>
      <w:lvlPicBulletId w:val="0"/>
      <w:lvlJc w:val="left"/>
      <w:pPr>
        <w:ind w:left="1713" w:hanging="360"/>
      </w:pPr>
      <w:rPr>
        <w:rFonts w:ascii="Symbol" w:hAnsi="Symbol" w:hint="default"/>
        <w:color w:val="auto"/>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 w15:restartNumberingAfterBreak="0">
    <w:nsid w:val="6A953622"/>
    <w:multiLevelType w:val="hybridMultilevel"/>
    <w:tmpl w:val="DEFC1B86"/>
    <w:lvl w:ilvl="0" w:tplc="63FE8440">
      <w:start w:val="1"/>
      <w:numFmt w:val="bullet"/>
      <w:lvlText w:val=""/>
      <w:lvlPicBulletId w:val="0"/>
      <w:lvlJc w:val="left"/>
      <w:pPr>
        <w:ind w:left="1713" w:hanging="360"/>
      </w:pPr>
      <w:rPr>
        <w:rFonts w:ascii="Symbol" w:hAnsi="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16cid:durableId="753165789">
    <w:abstractNumId w:val="2"/>
  </w:num>
  <w:num w:numId="2" w16cid:durableId="1244340105">
    <w:abstractNumId w:val="4"/>
  </w:num>
  <w:num w:numId="3" w16cid:durableId="1809013510">
    <w:abstractNumId w:val="0"/>
  </w:num>
  <w:num w:numId="4" w16cid:durableId="871499854">
    <w:abstractNumId w:val="1"/>
  </w:num>
  <w:num w:numId="5" w16cid:durableId="102917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B3"/>
    <w:rsid w:val="00006B47"/>
    <w:rsid w:val="00007955"/>
    <w:rsid w:val="00015BA1"/>
    <w:rsid w:val="00016205"/>
    <w:rsid w:val="00032434"/>
    <w:rsid w:val="00043864"/>
    <w:rsid w:val="00043CE3"/>
    <w:rsid w:val="00051BED"/>
    <w:rsid w:val="000679F0"/>
    <w:rsid w:val="00087546"/>
    <w:rsid w:val="000A33FC"/>
    <w:rsid w:val="000B09C2"/>
    <w:rsid w:val="000C5437"/>
    <w:rsid w:val="000D07D8"/>
    <w:rsid w:val="000F21AB"/>
    <w:rsid w:val="00124920"/>
    <w:rsid w:val="001276B8"/>
    <w:rsid w:val="00130814"/>
    <w:rsid w:val="0015790E"/>
    <w:rsid w:val="00161136"/>
    <w:rsid w:val="00164F3B"/>
    <w:rsid w:val="001672EC"/>
    <w:rsid w:val="001A1457"/>
    <w:rsid w:val="001A7D2E"/>
    <w:rsid w:val="001B2884"/>
    <w:rsid w:val="001B597B"/>
    <w:rsid w:val="001B5D83"/>
    <w:rsid w:val="001C1C8C"/>
    <w:rsid w:val="001C34CB"/>
    <w:rsid w:val="001D2EC7"/>
    <w:rsid w:val="001D6317"/>
    <w:rsid w:val="001E7F16"/>
    <w:rsid w:val="00201D12"/>
    <w:rsid w:val="0021466F"/>
    <w:rsid w:val="00230043"/>
    <w:rsid w:val="002367B7"/>
    <w:rsid w:val="002431E4"/>
    <w:rsid w:val="00245468"/>
    <w:rsid w:val="00250E62"/>
    <w:rsid w:val="002512A9"/>
    <w:rsid w:val="0025322E"/>
    <w:rsid w:val="00260BA5"/>
    <w:rsid w:val="002716AA"/>
    <w:rsid w:val="002726B1"/>
    <w:rsid w:val="00276964"/>
    <w:rsid w:val="002821C3"/>
    <w:rsid w:val="00292009"/>
    <w:rsid w:val="002B09AD"/>
    <w:rsid w:val="002B6CA4"/>
    <w:rsid w:val="002C5C5F"/>
    <w:rsid w:val="002D691F"/>
    <w:rsid w:val="002E5278"/>
    <w:rsid w:val="00304835"/>
    <w:rsid w:val="0033258B"/>
    <w:rsid w:val="00350CEF"/>
    <w:rsid w:val="00370534"/>
    <w:rsid w:val="0037150B"/>
    <w:rsid w:val="00387681"/>
    <w:rsid w:val="00397091"/>
    <w:rsid w:val="003A7F0D"/>
    <w:rsid w:val="003B1DD6"/>
    <w:rsid w:val="003B2810"/>
    <w:rsid w:val="003D04D1"/>
    <w:rsid w:val="003D4B87"/>
    <w:rsid w:val="003D6099"/>
    <w:rsid w:val="003D7B71"/>
    <w:rsid w:val="003E2AE5"/>
    <w:rsid w:val="003E475A"/>
    <w:rsid w:val="003F12C1"/>
    <w:rsid w:val="003F7521"/>
    <w:rsid w:val="00410A4D"/>
    <w:rsid w:val="00410A65"/>
    <w:rsid w:val="00414AE0"/>
    <w:rsid w:val="00454501"/>
    <w:rsid w:val="00457516"/>
    <w:rsid w:val="0046429C"/>
    <w:rsid w:val="0047072C"/>
    <w:rsid w:val="00483466"/>
    <w:rsid w:val="004927EA"/>
    <w:rsid w:val="00497A5F"/>
    <w:rsid w:val="004A7803"/>
    <w:rsid w:val="004B0284"/>
    <w:rsid w:val="004B17B3"/>
    <w:rsid w:val="004B1AEB"/>
    <w:rsid w:val="004B2E45"/>
    <w:rsid w:val="004D316B"/>
    <w:rsid w:val="004D7F07"/>
    <w:rsid w:val="004E4650"/>
    <w:rsid w:val="004F3889"/>
    <w:rsid w:val="004F7342"/>
    <w:rsid w:val="00514F40"/>
    <w:rsid w:val="005159B9"/>
    <w:rsid w:val="00532B5A"/>
    <w:rsid w:val="00543E52"/>
    <w:rsid w:val="0054459D"/>
    <w:rsid w:val="00550A93"/>
    <w:rsid w:val="00562EBF"/>
    <w:rsid w:val="00566717"/>
    <w:rsid w:val="00572305"/>
    <w:rsid w:val="005756D8"/>
    <w:rsid w:val="0058602C"/>
    <w:rsid w:val="00597296"/>
    <w:rsid w:val="005B122E"/>
    <w:rsid w:val="005B28EC"/>
    <w:rsid w:val="005B5D3D"/>
    <w:rsid w:val="005C27E5"/>
    <w:rsid w:val="005C662F"/>
    <w:rsid w:val="005D7AD9"/>
    <w:rsid w:val="005E008F"/>
    <w:rsid w:val="0060230C"/>
    <w:rsid w:val="006206F2"/>
    <w:rsid w:val="00630CE8"/>
    <w:rsid w:val="0063240C"/>
    <w:rsid w:val="00654596"/>
    <w:rsid w:val="0065605D"/>
    <w:rsid w:val="00670003"/>
    <w:rsid w:val="00675CFD"/>
    <w:rsid w:val="006771AA"/>
    <w:rsid w:val="00680E3B"/>
    <w:rsid w:val="00691762"/>
    <w:rsid w:val="006B59B4"/>
    <w:rsid w:val="006C0F8C"/>
    <w:rsid w:val="006C5EB6"/>
    <w:rsid w:val="006D01A9"/>
    <w:rsid w:val="00702537"/>
    <w:rsid w:val="0070378C"/>
    <w:rsid w:val="007047B5"/>
    <w:rsid w:val="007252A7"/>
    <w:rsid w:val="00730FC9"/>
    <w:rsid w:val="00743EB0"/>
    <w:rsid w:val="00743EDE"/>
    <w:rsid w:val="0075054F"/>
    <w:rsid w:val="007564A9"/>
    <w:rsid w:val="00765861"/>
    <w:rsid w:val="00767E70"/>
    <w:rsid w:val="00776DBE"/>
    <w:rsid w:val="00782C1D"/>
    <w:rsid w:val="0078619B"/>
    <w:rsid w:val="00794475"/>
    <w:rsid w:val="007A4980"/>
    <w:rsid w:val="007C3BB9"/>
    <w:rsid w:val="007C7094"/>
    <w:rsid w:val="007D6AC7"/>
    <w:rsid w:val="007F2291"/>
    <w:rsid w:val="008045D3"/>
    <w:rsid w:val="00806B0A"/>
    <w:rsid w:val="0082604D"/>
    <w:rsid w:val="00827BE4"/>
    <w:rsid w:val="00836CA5"/>
    <w:rsid w:val="00852CC1"/>
    <w:rsid w:val="00872B2E"/>
    <w:rsid w:val="00874404"/>
    <w:rsid w:val="008869CB"/>
    <w:rsid w:val="008A04C6"/>
    <w:rsid w:val="008B3E88"/>
    <w:rsid w:val="008D2A54"/>
    <w:rsid w:val="008E51DC"/>
    <w:rsid w:val="008E5266"/>
    <w:rsid w:val="008E67EF"/>
    <w:rsid w:val="008F5DB9"/>
    <w:rsid w:val="008F7E4C"/>
    <w:rsid w:val="00923123"/>
    <w:rsid w:val="00923B41"/>
    <w:rsid w:val="0094077C"/>
    <w:rsid w:val="00941118"/>
    <w:rsid w:val="009426A5"/>
    <w:rsid w:val="0096317A"/>
    <w:rsid w:val="009633B2"/>
    <w:rsid w:val="00966DD3"/>
    <w:rsid w:val="00981179"/>
    <w:rsid w:val="009A25DE"/>
    <w:rsid w:val="009B53B0"/>
    <w:rsid w:val="009D48C9"/>
    <w:rsid w:val="009E6A64"/>
    <w:rsid w:val="009F0B81"/>
    <w:rsid w:val="009F3892"/>
    <w:rsid w:val="00A02076"/>
    <w:rsid w:val="00A30C68"/>
    <w:rsid w:val="00A35B4D"/>
    <w:rsid w:val="00A40E79"/>
    <w:rsid w:val="00A74AB0"/>
    <w:rsid w:val="00A811C8"/>
    <w:rsid w:val="00A82ADC"/>
    <w:rsid w:val="00A85C81"/>
    <w:rsid w:val="00A97FEC"/>
    <w:rsid w:val="00AA3785"/>
    <w:rsid w:val="00AA5542"/>
    <w:rsid w:val="00AB4236"/>
    <w:rsid w:val="00AC48DF"/>
    <w:rsid w:val="00AC72B3"/>
    <w:rsid w:val="00AF1C52"/>
    <w:rsid w:val="00AF68AF"/>
    <w:rsid w:val="00B025BD"/>
    <w:rsid w:val="00B03A75"/>
    <w:rsid w:val="00B04C09"/>
    <w:rsid w:val="00B10F1C"/>
    <w:rsid w:val="00B17E79"/>
    <w:rsid w:val="00B21E84"/>
    <w:rsid w:val="00B22D70"/>
    <w:rsid w:val="00B23D7B"/>
    <w:rsid w:val="00B457AE"/>
    <w:rsid w:val="00B73F33"/>
    <w:rsid w:val="00B929C2"/>
    <w:rsid w:val="00BA1FC6"/>
    <w:rsid w:val="00BB2A59"/>
    <w:rsid w:val="00BB4116"/>
    <w:rsid w:val="00BB51F0"/>
    <w:rsid w:val="00BE1D38"/>
    <w:rsid w:val="00BE62DC"/>
    <w:rsid w:val="00C10D90"/>
    <w:rsid w:val="00C13040"/>
    <w:rsid w:val="00C21918"/>
    <w:rsid w:val="00C32DE9"/>
    <w:rsid w:val="00C40460"/>
    <w:rsid w:val="00C531B7"/>
    <w:rsid w:val="00C66290"/>
    <w:rsid w:val="00C7694F"/>
    <w:rsid w:val="00C909DA"/>
    <w:rsid w:val="00CB5A83"/>
    <w:rsid w:val="00CC154C"/>
    <w:rsid w:val="00CC7342"/>
    <w:rsid w:val="00D36987"/>
    <w:rsid w:val="00D479AE"/>
    <w:rsid w:val="00D566C0"/>
    <w:rsid w:val="00D6232A"/>
    <w:rsid w:val="00D72EED"/>
    <w:rsid w:val="00DB4E7F"/>
    <w:rsid w:val="00DC416C"/>
    <w:rsid w:val="00DC6BB1"/>
    <w:rsid w:val="00DD2EA5"/>
    <w:rsid w:val="00DD5FDF"/>
    <w:rsid w:val="00DF4706"/>
    <w:rsid w:val="00E03838"/>
    <w:rsid w:val="00E10C77"/>
    <w:rsid w:val="00E25B37"/>
    <w:rsid w:val="00E44B7B"/>
    <w:rsid w:val="00E46079"/>
    <w:rsid w:val="00E514BC"/>
    <w:rsid w:val="00E57046"/>
    <w:rsid w:val="00E60DBC"/>
    <w:rsid w:val="00E61165"/>
    <w:rsid w:val="00E65E4C"/>
    <w:rsid w:val="00E820FD"/>
    <w:rsid w:val="00E82974"/>
    <w:rsid w:val="00EA5F7C"/>
    <w:rsid w:val="00EB72FE"/>
    <w:rsid w:val="00EC182A"/>
    <w:rsid w:val="00EC5A2F"/>
    <w:rsid w:val="00ED3EDD"/>
    <w:rsid w:val="00EF1318"/>
    <w:rsid w:val="00F01329"/>
    <w:rsid w:val="00F02245"/>
    <w:rsid w:val="00F109EF"/>
    <w:rsid w:val="00F132D0"/>
    <w:rsid w:val="00F551ED"/>
    <w:rsid w:val="00F62B19"/>
    <w:rsid w:val="00F71D7F"/>
    <w:rsid w:val="00F7750B"/>
    <w:rsid w:val="00F82BAD"/>
    <w:rsid w:val="00F873BF"/>
    <w:rsid w:val="00F932C4"/>
    <w:rsid w:val="00F933DE"/>
    <w:rsid w:val="00F95EB1"/>
    <w:rsid w:val="00FA62B2"/>
    <w:rsid w:val="00FB4E3C"/>
    <w:rsid w:val="00FC04FD"/>
    <w:rsid w:val="00FD11CA"/>
    <w:rsid w:val="00FD5975"/>
    <w:rsid w:val="00FE767C"/>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B079F91"/>
  <w15:chartTrackingRefBased/>
  <w15:docId w15:val="{6DE3B6FC-77B3-4CC4-9802-6E4B3BA4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17B3"/>
    <w:pPr>
      <w:widowControl w:val="0"/>
      <w:autoSpaceDE w:val="0"/>
      <w:autoSpaceDN w:val="0"/>
    </w:pPr>
    <w:rPr>
      <w:rFonts w:ascii="Arial" w:eastAsia="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4B17B3"/>
    <w:pPr>
      <w:widowControl w:val="0"/>
      <w:autoSpaceDE w:val="0"/>
      <w:autoSpaceDN w:val="0"/>
    </w:pPr>
    <w:rPr>
      <w:sz w:val="22"/>
    </w:rPr>
    <w:tblPr>
      <w:tblInd w:w="0" w:type="dxa"/>
      <w:tblCellMar>
        <w:top w:w="0" w:type="dxa"/>
        <w:left w:w="0" w:type="dxa"/>
        <w:bottom w:w="0" w:type="dxa"/>
        <w:right w:w="0" w:type="dxa"/>
      </w:tblCellMar>
    </w:tblPr>
  </w:style>
  <w:style w:type="paragraph" w:customStyle="1" w:styleId="TOC11">
    <w:name w:val="TOC 11"/>
    <w:basedOn w:val="Normal"/>
    <w:uiPriority w:val="1"/>
    <w:qFormat/>
    <w:rsid w:val="004B17B3"/>
    <w:pPr>
      <w:spacing w:before="119"/>
      <w:ind w:left="2880" w:hanging="441"/>
    </w:pPr>
    <w:rPr>
      <w:b/>
      <w:sz w:val="24"/>
    </w:rPr>
  </w:style>
  <w:style w:type="paragraph" w:styleId="BodyText">
    <w:name w:val="Body Text"/>
    <w:basedOn w:val="Normal"/>
    <w:uiPriority w:val="1"/>
    <w:rsid w:val="004B17B3"/>
  </w:style>
  <w:style w:type="paragraph" w:customStyle="1" w:styleId="1Naturedoc">
    <w:name w:val="1 Nature doc"/>
    <w:basedOn w:val="Normal"/>
    <w:uiPriority w:val="1"/>
    <w:qFormat/>
    <w:rsid w:val="0070378C"/>
    <w:pPr>
      <w:spacing w:before="110"/>
      <w:ind w:left="100"/>
    </w:pPr>
    <w:rPr>
      <w:rFonts w:ascii="Glegoo" w:hAnsi="Glegoo" w:cs="Glegoo"/>
      <w:b/>
      <w:color w:val="0600EA"/>
      <w:sz w:val="24"/>
    </w:rPr>
  </w:style>
  <w:style w:type="paragraph" w:customStyle="1" w:styleId="2Grandtitre">
    <w:name w:val="2 Grand titre"/>
    <w:basedOn w:val="BodyText"/>
    <w:uiPriority w:val="1"/>
    <w:qFormat/>
    <w:rsid w:val="005E008F"/>
    <w:rPr>
      <w:rFonts w:ascii="Conduit ITC" w:hAnsi="Conduit ITC"/>
      <w:b/>
      <w:color w:val="0600EA"/>
      <w:sz w:val="60"/>
    </w:rPr>
  </w:style>
  <w:style w:type="paragraph" w:customStyle="1" w:styleId="3Titreparagraphe">
    <w:name w:val="3 Titre paragraphe"/>
    <w:basedOn w:val="Heading51"/>
    <w:uiPriority w:val="1"/>
    <w:qFormat/>
    <w:rsid w:val="005E008F"/>
    <w:pPr>
      <w:spacing w:before="100" w:beforeAutospacing="1" w:line="276" w:lineRule="auto"/>
    </w:pPr>
    <w:rPr>
      <w:rFonts w:ascii="Glegoo" w:hAnsi="Glegoo" w:cs="Glegoo"/>
      <w:b/>
      <w:color w:val="0600EA"/>
      <w:sz w:val="28"/>
    </w:rPr>
  </w:style>
  <w:style w:type="paragraph" w:customStyle="1" w:styleId="4Paragraphe">
    <w:name w:val="4 Paragraphe"/>
    <w:basedOn w:val="Heading51"/>
    <w:uiPriority w:val="1"/>
    <w:qFormat/>
    <w:rsid w:val="005E008F"/>
    <w:pPr>
      <w:spacing w:line="276" w:lineRule="auto"/>
    </w:pPr>
    <w:rPr>
      <w:rFonts w:ascii="Conduit ITC" w:hAnsi="Conduit ITC"/>
    </w:rPr>
  </w:style>
  <w:style w:type="paragraph" w:customStyle="1" w:styleId="Heading51">
    <w:name w:val="Heading 51"/>
    <w:basedOn w:val="Normal"/>
    <w:uiPriority w:val="1"/>
    <w:qFormat/>
    <w:rsid w:val="004B17B3"/>
    <w:pPr>
      <w:spacing w:before="268"/>
      <w:ind w:left="2440" w:right="998"/>
      <w:outlineLvl w:val="5"/>
    </w:pPr>
    <w:rPr>
      <w:sz w:val="24"/>
    </w:rPr>
  </w:style>
  <w:style w:type="paragraph" w:customStyle="1" w:styleId="Heading61">
    <w:name w:val="Heading 61"/>
    <w:basedOn w:val="Normal"/>
    <w:uiPriority w:val="1"/>
    <w:qFormat/>
    <w:rsid w:val="004B17B3"/>
    <w:pPr>
      <w:spacing w:before="141"/>
      <w:ind w:left="3161"/>
      <w:outlineLvl w:val="6"/>
    </w:pPr>
    <w:rPr>
      <w:b/>
    </w:rPr>
  </w:style>
  <w:style w:type="paragraph" w:styleId="ListParagraph">
    <w:name w:val="List Paragraph"/>
    <w:basedOn w:val="Normal"/>
    <w:uiPriority w:val="1"/>
    <w:qFormat/>
    <w:rsid w:val="004B17B3"/>
    <w:pPr>
      <w:spacing w:before="119"/>
      <w:ind w:left="2880" w:hanging="441"/>
    </w:pPr>
  </w:style>
  <w:style w:type="paragraph" w:customStyle="1" w:styleId="TableParagraph">
    <w:name w:val="Table Paragraph"/>
    <w:basedOn w:val="Normal"/>
    <w:uiPriority w:val="1"/>
    <w:qFormat/>
    <w:rsid w:val="004B17B3"/>
  </w:style>
  <w:style w:type="paragraph" w:styleId="BalloonText">
    <w:name w:val="Balloon Text"/>
    <w:basedOn w:val="Normal"/>
    <w:link w:val="BalloonTextChar"/>
    <w:uiPriority w:val="99"/>
    <w:semiHidden/>
    <w:unhideWhenUsed/>
    <w:rsid w:val="004E4650"/>
    <w:rPr>
      <w:rFonts w:ascii="Tahoma" w:hAnsi="Tahoma" w:cs="Tahoma"/>
      <w:sz w:val="16"/>
    </w:rPr>
  </w:style>
  <w:style w:type="character" w:customStyle="1" w:styleId="BalloonTextChar">
    <w:name w:val="Balloon Text Char"/>
    <w:link w:val="BalloonText"/>
    <w:uiPriority w:val="99"/>
    <w:semiHidden/>
    <w:rsid w:val="004E4650"/>
    <w:rPr>
      <w:rFonts w:ascii="Tahoma" w:eastAsia="Arial" w:hAnsi="Tahoma" w:cs="Tahoma"/>
      <w:sz w:val="16"/>
    </w:rPr>
  </w:style>
  <w:style w:type="paragraph" w:styleId="Quote">
    <w:name w:val="Quote"/>
    <w:aliases w:val="5 Parole"/>
    <w:next w:val="Normal"/>
    <w:link w:val="QuoteChar"/>
    <w:uiPriority w:val="29"/>
    <w:rsid w:val="004D7F07"/>
    <w:pPr>
      <w:widowControl w:val="0"/>
      <w:autoSpaceDE w:val="0"/>
      <w:autoSpaceDN w:val="0"/>
    </w:pPr>
    <w:rPr>
      <w:rFonts w:ascii="Conduit ITC" w:eastAsia="Arial" w:hAnsi="Conduit ITC" w:cs="Arial"/>
      <w:i/>
      <w:color w:val="0600EA"/>
      <w:sz w:val="24"/>
    </w:rPr>
  </w:style>
  <w:style w:type="character" w:customStyle="1" w:styleId="QuoteChar">
    <w:name w:val="Quote Char"/>
    <w:aliases w:val="5 Parole Char"/>
    <w:link w:val="Quote"/>
    <w:uiPriority w:val="29"/>
    <w:rsid w:val="004D7F07"/>
    <w:rPr>
      <w:rFonts w:ascii="Conduit ITC" w:eastAsia="Arial" w:hAnsi="Conduit ITC" w:cs="Arial"/>
      <w:i/>
      <w:color w:val="0600EA"/>
      <w:sz w:val="24"/>
    </w:rPr>
  </w:style>
  <w:style w:type="character" w:styleId="Hyperlink">
    <w:name w:val="Hyperlink"/>
    <w:uiPriority w:val="99"/>
    <w:unhideWhenUsed/>
    <w:rsid w:val="0070378C"/>
    <w:rPr>
      <w:color w:val="0000FF"/>
      <w:u w:val="single"/>
    </w:rPr>
  </w:style>
  <w:style w:type="paragraph" w:customStyle="1" w:styleId="5Paragraphebleu">
    <w:name w:val="5 Paragraphe bleu"/>
    <w:basedOn w:val="4Paragraphe"/>
    <w:uiPriority w:val="1"/>
    <w:qFormat/>
    <w:rsid w:val="003F12C1"/>
    <w:rPr>
      <w:color w:val="0600EA"/>
    </w:rPr>
  </w:style>
  <w:style w:type="table" w:styleId="TableGrid">
    <w:name w:val="Table Grid"/>
    <w:basedOn w:val="TableNormal"/>
    <w:uiPriority w:val="59"/>
    <w:rsid w:val="005667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E1D38"/>
    <w:pPr>
      <w:tabs>
        <w:tab w:val="center" w:pos="4536"/>
        <w:tab w:val="right" w:pos="9072"/>
      </w:tabs>
    </w:pPr>
  </w:style>
  <w:style w:type="character" w:customStyle="1" w:styleId="HeaderChar">
    <w:name w:val="Header Char"/>
    <w:link w:val="Header"/>
    <w:uiPriority w:val="99"/>
    <w:rsid w:val="00BE1D38"/>
    <w:rPr>
      <w:rFonts w:ascii="Arial" w:eastAsia="Arial" w:hAnsi="Arial" w:cs="Arial"/>
      <w:sz w:val="22"/>
    </w:rPr>
  </w:style>
  <w:style w:type="paragraph" w:styleId="Footer">
    <w:name w:val="footer"/>
    <w:basedOn w:val="Normal"/>
    <w:link w:val="FooterChar"/>
    <w:uiPriority w:val="99"/>
    <w:unhideWhenUsed/>
    <w:rsid w:val="00BE1D38"/>
    <w:pPr>
      <w:tabs>
        <w:tab w:val="center" w:pos="4536"/>
        <w:tab w:val="right" w:pos="9072"/>
      </w:tabs>
    </w:pPr>
  </w:style>
  <w:style w:type="character" w:customStyle="1" w:styleId="FooterChar">
    <w:name w:val="Footer Char"/>
    <w:link w:val="Footer"/>
    <w:uiPriority w:val="99"/>
    <w:rsid w:val="00BE1D38"/>
    <w:rPr>
      <w:rFonts w:ascii="Arial" w:eastAsia="Arial" w:hAnsi="Arial" w:cs="Arial"/>
      <w:sz w:val="22"/>
    </w:rPr>
  </w:style>
  <w:style w:type="character" w:styleId="UnresolvedMention">
    <w:name w:val="Unresolved Mention"/>
    <w:uiPriority w:val="99"/>
    <w:semiHidden/>
    <w:unhideWhenUsed/>
    <w:rsid w:val="00C40460"/>
    <w:rPr>
      <w:color w:val="605E5C"/>
      <w:shd w:val="clear" w:color="auto" w:fill="E1DFDD"/>
    </w:rPr>
  </w:style>
  <w:style w:type="character" w:styleId="FollowedHyperlink">
    <w:name w:val="FollowedHyperlink"/>
    <w:uiPriority w:val="99"/>
    <w:semiHidden/>
    <w:unhideWhenUsed/>
    <w:rsid w:val="00C66290"/>
    <w:rPr>
      <w:color w:val="954F72"/>
      <w:u w:val="single"/>
    </w:rPr>
  </w:style>
  <w:style w:type="paragraph" w:styleId="Revision">
    <w:name w:val="Revision"/>
    <w:hidden/>
    <w:uiPriority w:val="99"/>
    <w:semiHidden/>
    <w:rsid w:val="00B025BD"/>
    <w:rPr>
      <w:rFonts w:ascii="Arial" w:eastAsia="Arial" w:hAnsi="Arial" w:cs="Arial"/>
      <w:sz w:val="22"/>
    </w:rPr>
  </w:style>
  <w:style w:type="paragraph" w:customStyle="1" w:styleId="P68B1DB1-3Titreparagraphe1">
    <w:name w:val="P68B1DB1-3Titreparagraphe1"/>
    <w:basedOn w:val="3Titreparagraphe"/>
    <w:rPr>
      <w:i/>
      <w:color w:val="auto"/>
      <w:sz w:val="20"/>
    </w:rPr>
  </w:style>
  <w:style w:type="paragraph" w:customStyle="1" w:styleId="P68B1DB1-Normal2">
    <w:name w:val="P68B1DB1-Normal2"/>
    <w:basedOn w:val="Normal"/>
    <w:rPr>
      <w:rFonts w:ascii="Conduit ITC" w:hAnsi="Conduit ITC"/>
      <w:i/>
      <w:color w:val="0600EA"/>
      <w:sz w:val="24"/>
    </w:rPr>
  </w:style>
  <w:style w:type="paragraph" w:customStyle="1" w:styleId="P68B1DB1-Normal3">
    <w:name w:val="P68B1DB1-Normal3"/>
    <w:basedOn w:val="Normal"/>
    <w:rPr>
      <w:rFonts w:ascii="Conduit ITC" w:hAnsi="Conduit ITC"/>
      <w:b/>
      <w:color w:val="2341D6"/>
      <w:sz w:val="20"/>
    </w:rPr>
  </w:style>
  <w:style w:type="paragraph" w:customStyle="1" w:styleId="P68B1DB1-Normal4">
    <w:name w:val="P68B1DB1-Normal4"/>
    <w:basedOn w:val="Normal"/>
    <w:rPr>
      <w:rFonts w:ascii="Glegoo" w:hAnsi="Glegoo" w:cs="Glegoo"/>
      <w:b/>
      <w:sz w:val="20"/>
    </w:rPr>
  </w:style>
  <w:style w:type="paragraph" w:customStyle="1" w:styleId="P68B1DB1-Normal5">
    <w:name w:val="P68B1DB1-Normal5"/>
    <w:basedOn w:val="Normal"/>
    <w:rPr>
      <w:rFonts w:ascii="Conduit ITC" w:hAnsi="Conduit ITC"/>
      <w:color w:val="404040"/>
      <w:sz w:val="20"/>
    </w:rPr>
  </w:style>
  <w:style w:type="paragraph" w:customStyle="1" w:styleId="P68B1DB1-Normal6">
    <w:name w:val="P68B1DB1-Normal6"/>
    <w:basedOn w:val="Normal"/>
    <w:rPr>
      <w:rFonts w:ascii="Conduit ITC" w:hAnsi="Conduit ITC"/>
      <w:color w:val="0600E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105">
      <w:bodyDiv w:val="1"/>
      <w:marLeft w:val="0"/>
      <w:marRight w:val="0"/>
      <w:marTop w:val="0"/>
      <w:marBottom w:val="0"/>
      <w:divBdr>
        <w:top w:val="none" w:sz="0" w:space="0" w:color="auto"/>
        <w:left w:val="none" w:sz="0" w:space="0" w:color="auto"/>
        <w:bottom w:val="none" w:sz="0" w:space="0" w:color="auto"/>
        <w:right w:val="none" w:sz="0" w:space="0" w:color="auto"/>
      </w:divBdr>
    </w:div>
    <w:div w:id="184561665">
      <w:bodyDiv w:val="1"/>
      <w:marLeft w:val="0"/>
      <w:marRight w:val="0"/>
      <w:marTop w:val="0"/>
      <w:marBottom w:val="0"/>
      <w:divBdr>
        <w:top w:val="none" w:sz="0" w:space="0" w:color="auto"/>
        <w:left w:val="none" w:sz="0" w:space="0" w:color="auto"/>
        <w:bottom w:val="none" w:sz="0" w:space="0" w:color="auto"/>
        <w:right w:val="none" w:sz="0" w:space="0" w:color="auto"/>
      </w:divBdr>
    </w:div>
    <w:div w:id="244149841">
      <w:bodyDiv w:val="1"/>
      <w:marLeft w:val="0"/>
      <w:marRight w:val="0"/>
      <w:marTop w:val="0"/>
      <w:marBottom w:val="0"/>
      <w:divBdr>
        <w:top w:val="none" w:sz="0" w:space="0" w:color="auto"/>
        <w:left w:val="none" w:sz="0" w:space="0" w:color="auto"/>
        <w:bottom w:val="none" w:sz="0" w:space="0" w:color="auto"/>
        <w:right w:val="none" w:sz="0" w:space="0" w:color="auto"/>
      </w:divBdr>
    </w:div>
    <w:div w:id="728266760">
      <w:bodyDiv w:val="1"/>
      <w:marLeft w:val="0"/>
      <w:marRight w:val="0"/>
      <w:marTop w:val="0"/>
      <w:marBottom w:val="0"/>
      <w:divBdr>
        <w:top w:val="none" w:sz="0" w:space="0" w:color="auto"/>
        <w:left w:val="none" w:sz="0" w:space="0" w:color="auto"/>
        <w:bottom w:val="none" w:sz="0" w:space="0" w:color="auto"/>
        <w:right w:val="none" w:sz="0" w:space="0" w:color="auto"/>
      </w:divBdr>
    </w:div>
    <w:div w:id="788007508">
      <w:bodyDiv w:val="1"/>
      <w:marLeft w:val="0"/>
      <w:marRight w:val="0"/>
      <w:marTop w:val="0"/>
      <w:marBottom w:val="0"/>
      <w:divBdr>
        <w:top w:val="none" w:sz="0" w:space="0" w:color="auto"/>
        <w:left w:val="none" w:sz="0" w:space="0" w:color="auto"/>
        <w:bottom w:val="none" w:sz="0" w:space="0" w:color="auto"/>
        <w:right w:val="none" w:sz="0" w:space="0" w:color="auto"/>
      </w:divBdr>
    </w:div>
    <w:div w:id="864707476">
      <w:bodyDiv w:val="1"/>
      <w:marLeft w:val="0"/>
      <w:marRight w:val="0"/>
      <w:marTop w:val="0"/>
      <w:marBottom w:val="0"/>
      <w:divBdr>
        <w:top w:val="none" w:sz="0" w:space="0" w:color="auto"/>
        <w:left w:val="none" w:sz="0" w:space="0" w:color="auto"/>
        <w:bottom w:val="none" w:sz="0" w:space="0" w:color="auto"/>
        <w:right w:val="none" w:sz="0" w:space="0" w:color="auto"/>
      </w:divBdr>
    </w:div>
    <w:div w:id="1118984362">
      <w:bodyDiv w:val="1"/>
      <w:marLeft w:val="0"/>
      <w:marRight w:val="0"/>
      <w:marTop w:val="0"/>
      <w:marBottom w:val="0"/>
      <w:divBdr>
        <w:top w:val="none" w:sz="0" w:space="0" w:color="auto"/>
        <w:left w:val="none" w:sz="0" w:space="0" w:color="auto"/>
        <w:bottom w:val="none" w:sz="0" w:space="0" w:color="auto"/>
        <w:right w:val="none" w:sz="0" w:space="0" w:color="auto"/>
      </w:divBdr>
    </w:div>
    <w:div w:id="1147211720">
      <w:bodyDiv w:val="1"/>
      <w:marLeft w:val="0"/>
      <w:marRight w:val="0"/>
      <w:marTop w:val="0"/>
      <w:marBottom w:val="0"/>
      <w:divBdr>
        <w:top w:val="none" w:sz="0" w:space="0" w:color="auto"/>
        <w:left w:val="none" w:sz="0" w:space="0" w:color="auto"/>
        <w:bottom w:val="none" w:sz="0" w:space="0" w:color="auto"/>
        <w:right w:val="none" w:sz="0" w:space="0" w:color="auto"/>
      </w:divBdr>
    </w:div>
    <w:div w:id="1295872978">
      <w:bodyDiv w:val="1"/>
      <w:marLeft w:val="0"/>
      <w:marRight w:val="0"/>
      <w:marTop w:val="0"/>
      <w:marBottom w:val="0"/>
      <w:divBdr>
        <w:top w:val="none" w:sz="0" w:space="0" w:color="auto"/>
        <w:left w:val="none" w:sz="0" w:space="0" w:color="auto"/>
        <w:bottom w:val="none" w:sz="0" w:space="0" w:color="auto"/>
        <w:right w:val="none" w:sz="0" w:space="0" w:color="auto"/>
      </w:divBdr>
    </w:div>
    <w:div w:id="181829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casanova@cnu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file:///\\SRV715\datacompany\(GW)%20Groupes%20de%20travail\05Communication%20-%20GTCOM%20-%20GC\Templates\www.notariesofeurope.eu" TargetMode="External"/><Relationship Id="rId2" Type="http://schemas.openxmlformats.org/officeDocument/2006/relationships/hyperlink" Target="mailto:info@cnue.be" TargetMode="External"/><Relationship Id="rId1" Type="http://schemas.openxmlformats.org/officeDocument/2006/relationships/image" Target="media/image4.png"/><Relationship Id="rId4" Type="http://schemas.openxmlformats.org/officeDocument/2006/relationships/hyperlink" Target="https://twitter.com/EUnota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C0A6-EFB4-4C7F-A622-703B6714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3150</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3695</CharactersWithSpaces>
  <SharedDoc>false</SharedDoc>
  <HLinks>
    <vt:vector size="30" baseType="variant">
      <vt:variant>
        <vt:i4>2359378</vt:i4>
      </vt:variant>
      <vt:variant>
        <vt:i4>3</vt:i4>
      </vt:variant>
      <vt:variant>
        <vt:i4>0</vt:i4>
      </vt:variant>
      <vt:variant>
        <vt:i4>5</vt:i4>
      </vt:variant>
      <vt:variant>
        <vt:lpwstr>mailto:g.casanova@cnue.be</vt:lpwstr>
      </vt:variant>
      <vt:variant>
        <vt:lpwstr/>
      </vt:variant>
      <vt:variant>
        <vt:i4>1245214</vt:i4>
      </vt:variant>
      <vt:variant>
        <vt:i4>0</vt:i4>
      </vt:variant>
      <vt:variant>
        <vt:i4>0</vt:i4>
      </vt:variant>
      <vt:variant>
        <vt:i4>5</vt:i4>
      </vt:variant>
      <vt:variant>
        <vt:lpwstr>http://www.the-vulnerable.eu/</vt:lpwstr>
      </vt:variant>
      <vt:variant>
        <vt:lpwstr/>
      </vt:variant>
      <vt:variant>
        <vt:i4>7864381</vt:i4>
      </vt:variant>
      <vt:variant>
        <vt:i4>6</vt:i4>
      </vt:variant>
      <vt:variant>
        <vt:i4>0</vt:i4>
      </vt:variant>
      <vt:variant>
        <vt:i4>5</vt:i4>
      </vt:variant>
      <vt:variant>
        <vt:lpwstr>https://twitter.com/EUnotaries</vt:lpwstr>
      </vt:variant>
      <vt:variant>
        <vt:lpwstr/>
      </vt:variant>
      <vt:variant>
        <vt:i4>6684784</vt:i4>
      </vt:variant>
      <vt:variant>
        <vt:i4>3</vt:i4>
      </vt:variant>
      <vt:variant>
        <vt:i4>0</vt:i4>
      </vt:variant>
      <vt:variant>
        <vt:i4>5</vt:i4>
      </vt:variant>
      <vt:variant>
        <vt:lpwstr>../../../../AppData/Local/Microsoft/AppData/Local/Microsoft/AppData/Local/s.schumann/AppData/Local/Microsoft/Windows/Guillaume/AppData/Local/Microsoft/AppData/Local/Microsoft/Windows/INetCache/Templates/www.notariesofeurope.eu</vt:lpwstr>
      </vt:variant>
      <vt:variant>
        <vt:lpwstr/>
      </vt:variant>
      <vt:variant>
        <vt:i4>4456563</vt:i4>
      </vt:variant>
      <vt:variant>
        <vt:i4>0</vt:i4>
      </vt:variant>
      <vt:variant>
        <vt:i4>0</vt:i4>
      </vt:variant>
      <vt:variant>
        <vt:i4>5</vt:i4>
      </vt:variant>
      <vt:variant>
        <vt:lpwstr>mailto:info@cnue.be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Chaney</dc:creator>
  <cp:keywords/>
  <cp:lastModifiedBy>Guillaume Casanova</cp:lastModifiedBy>
  <cp:revision>2</cp:revision>
  <cp:lastPrinted>2023-03-29T14:53:00Z</cp:lastPrinted>
  <dcterms:created xsi:type="dcterms:W3CDTF">2023-06-01T13:03:00Z</dcterms:created>
  <dcterms:modified xsi:type="dcterms:W3CDTF">2023-06-01T13:03:00Z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for Microsoft 365</vt:lpwstr>
  </property>
  <property fmtid="{D5CDD505-2E9C-101B-9397-08002B2CF9AE}" pid="4" name="LastSaved">
    <vt:filetime>2022-09-13T00:00:00Z</vt:filetime>
  </property>
  <property fmtid="{D5CDD505-2E9C-101B-9397-08002B2CF9AE}" pid="5" name="Producer">
    <vt:lpwstr>Microsoft® Word for Microsoft 365</vt:lpwstr>
  </property>
</Properties>
</file>