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B11" w:rsidRDefault="00AE78C9">
      <w:pPr>
        <w:pStyle w:val="Bodytext20"/>
        <w:spacing w:line="240" w:lineRule="auto"/>
      </w:pPr>
      <w:bookmarkStart w:id="0" w:name="_GoBack"/>
      <w:bookmarkEnd w:id="0"/>
      <w:r>
        <w:rPr>
          <w:rStyle w:val="Bodytext2"/>
          <w:b/>
          <w:color w:val="002559"/>
        </w:rPr>
        <w:t>B 08129</w:t>
      </w:r>
    </w:p>
    <w:p w:rsidR="007E4B11" w:rsidRDefault="00AE78C9">
      <w:pPr>
        <w:pStyle w:val="Bodytext30"/>
        <w:rPr>
          <w:sz w:val="42"/>
        </w:rPr>
      </w:pPr>
      <w:r>
        <w:rPr>
          <w:rStyle w:val="Bodytext3"/>
          <w:b/>
          <w:sz w:val="42"/>
        </w:rPr>
        <w:t>8/2022</w:t>
      </w:r>
    </w:p>
    <w:p w:rsidR="007E4B11" w:rsidRDefault="00AE78C9">
      <w:pPr>
        <w:pStyle w:val="Bodytext20"/>
        <w:spacing w:after="660" w:line="218" w:lineRule="auto"/>
      </w:pPr>
      <w:r>
        <w:rPr>
          <w:rStyle w:val="Bodytext2"/>
          <w:color w:val="002559"/>
        </w:rPr>
        <w:t>30. Millésime/avril 2022 ISSN 1434-3460</w:t>
      </w:r>
    </w:p>
    <w:p w:rsidR="007E4B11" w:rsidRDefault="00AE78C9">
      <w:pPr>
        <w:pStyle w:val="Heading110"/>
        <w:keepNext/>
        <w:keepLines/>
      </w:pPr>
      <w:bookmarkStart w:id="1" w:name="bookmark0"/>
      <w:r>
        <w:rPr>
          <w:rStyle w:val="Heading11"/>
          <w:b/>
        </w:rPr>
        <w:t>DNotI</w:t>
      </w:r>
      <w:r>
        <w:rPr>
          <w:rStyle w:val="Heading11"/>
          <w:b/>
          <w:sz w:val="70"/>
        </w:rPr>
        <w:t>-</w:t>
      </w:r>
      <w:r>
        <w:rPr>
          <w:rStyle w:val="Heading11"/>
          <w:b/>
        </w:rPr>
        <w:t>Rapport</w:t>
      </w:r>
      <w:bookmarkEnd w:id="1"/>
    </w:p>
    <w:p w:rsidR="007E4B11" w:rsidRDefault="00AE78C9">
      <w:pPr>
        <w:pStyle w:val="Heading210"/>
        <w:keepNext/>
        <w:keepLines/>
      </w:pPr>
      <w:bookmarkStart w:id="2" w:name="bookmark2"/>
      <w:r>
        <w:rPr>
          <w:rStyle w:val="Heading21"/>
        </w:rPr>
        <w:t xml:space="preserve">Service d’information </w:t>
      </w:r>
      <w:bookmarkEnd w:id="2"/>
      <w:r w:rsidR="00990890">
        <w:rPr>
          <w:rStyle w:val="Heading21"/>
        </w:rPr>
        <w:t xml:space="preserve">du </w:t>
      </w:r>
      <w:r w:rsidR="00990890" w:rsidRPr="00B85415">
        <w:rPr>
          <w:rStyle w:val="Heading21"/>
          <w:i/>
        </w:rPr>
        <w:t>Deutsches Notarinstitut</w:t>
      </w:r>
    </w:p>
    <w:p w:rsidR="007E4B11" w:rsidRDefault="00AE78C9">
      <w:pPr>
        <w:pStyle w:val="Bodytext30"/>
        <w:pBdr>
          <w:top w:val="single" w:sz="4" w:space="0" w:color="auto"/>
        </w:pBdr>
        <w:sectPr w:rsidR="007E4B11">
          <w:footerReference w:type="even" r:id="rId7"/>
          <w:footerReference w:type="default" r:id="rId8"/>
          <w:pgSz w:w="11900" w:h="16840"/>
          <w:pgMar w:top="961" w:right="1414" w:bottom="1476" w:left="1409" w:header="0" w:footer="3" w:gutter="0"/>
          <w:pgNumType w:start="57"/>
          <w:cols w:space="720"/>
          <w:noEndnote/>
          <w:docGrid w:linePitch="360"/>
        </w:sectPr>
      </w:pPr>
      <w:r>
        <w:rPr>
          <w:rStyle w:val="Bodytext3"/>
          <w:b/>
        </w:rPr>
        <w:t>Présentation du contenu</w:t>
      </w:r>
    </w:p>
    <w:p w:rsidR="007E4B11" w:rsidRDefault="007E4B11">
      <w:pPr>
        <w:spacing w:line="227" w:lineRule="exact"/>
        <w:rPr>
          <w:sz w:val="18"/>
        </w:rPr>
      </w:pPr>
    </w:p>
    <w:p w:rsidR="007E4B11" w:rsidRDefault="007E4B11">
      <w:pPr>
        <w:spacing w:line="1" w:lineRule="exact"/>
        <w:sectPr w:rsidR="007E4B11">
          <w:type w:val="continuous"/>
          <w:pgSz w:w="11900" w:h="16840"/>
          <w:pgMar w:top="961" w:right="0" w:bottom="1476" w:left="0" w:header="0" w:footer="3" w:gutter="0"/>
          <w:cols w:space="720"/>
          <w:noEndnote/>
          <w:docGrid w:linePitch="360"/>
        </w:sectPr>
      </w:pPr>
    </w:p>
    <w:p w:rsidR="007E4B11" w:rsidRDefault="00AE78C9">
      <w:pPr>
        <w:pStyle w:val="Heading410"/>
        <w:keepNext/>
        <w:keepLines/>
        <w:spacing w:after="220"/>
        <w:jc w:val="both"/>
      </w:pPr>
      <w:bookmarkStart w:id="3" w:name="bookmark4"/>
      <w:r>
        <w:rPr>
          <w:rStyle w:val="Heading41"/>
          <w:b/>
          <w:color w:val="002559"/>
        </w:rPr>
        <w:t>De la pratique d’expertise du DNotI</w:t>
      </w:r>
      <w:bookmarkEnd w:id="3"/>
    </w:p>
    <w:p w:rsidR="00990890" w:rsidRDefault="00CF1452">
      <w:pPr>
        <w:pStyle w:val="Bodytext10"/>
        <w:spacing w:line="230" w:lineRule="auto"/>
        <w:jc w:val="both"/>
        <w:rPr>
          <w:rStyle w:val="Bodytext1"/>
          <w:color w:val="002559"/>
        </w:rPr>
      </w:pPr>
      <w:r>
        <w:rPr>
          <w:rStyle w:val="Bodytext1"/>
          <w:color w:val="002559"/>
        </w:rPr>
        <w:t>(Extrait)</w:t>
      </w:r>
    </w:p>
    <w:p w:rsidR="007E4B11" w:rsidRDefault="00AE78C9">
      <w:pPr>
        <w:pStyle w:val="Bodytext10"/>
        <w:spacing w:line="230" w:lineRule="auto"/>
        <w:jc w:val="both"/>
      </w:pPr>
      <w:r>
        <w:rPr>
          <w:rStyle w:val="Bodytext1"/>
          <w:color w:val="002559"/>
        </w:rPr>
        <w:t>Ar</w:t>
      </w:r>
      <w:r w:rsidR="00990890">
        <w:rPr>
          <w:rStyle w:val="Bodytext1"/>
          <w:color w:val="002559"/>
        </w:rPr>
        <w:t>ticle 22 du règlement (UE) 2016/1103 Régimes matrimoniaux</w:t>
      </w:r>
      <w:r>
        <w:rPr>
          <w:rStyle w:val="Bodytext1"/>
          <w:color w:val="002559"/>
        </w:rPr>
        <w:t xml:space="preserve">; Articles 21, 34 et 75 </w:t>
      </w:r>
      <w:r w:rsidR="00990890">
        <w:rPr>
          <w:rStyle w:val="Bodytext1"/>
          <w:color w:val="002559"/>
        </w:rPr>
        <w:t xml:space="preserve">du règlement (UE) </w:t>
      </w:r>
      <w:r>
        <w:rPr>
          <w:rStyle w:val="Bodytext1"/>
          <w:color w:val="002559"/>
        </w:rPr>
        <w:t>6</w:t>
      </w:r>
      <w:r w:rsidR="00990890">
        <w:rPr>
          <w:rStyle w:val="Bodytext1"/>
          <w:color w:val="002559"/>
        </w:rPr>
        <w:t xml:space="preserve">50/2012 Successions; Article 16 de la Convention de la Haye </w:t>
      </w:r>
      <w:r w:rsidR="00CF1452">
        <w:rPr>
          <w:rStyle w:val="Bodytext1"/>
          <w:color w:val="002559"/>
        </w:rPr>
        <w:t xml:space="preserve">du 19 octobre 1996 concernant la compétence, la loi applicable, la reconnaissance, l’exécution et la coopération en matière de responsabilité parentale et de mesures de protection </w:t>
      </w:r>
      <w:r w:rsidR="00990890">
        <w:rPr>
          <w:rStyle w:val="Bodytext1"/>
          <w:color w:val="002559"/>
        </w:rPr>
        <w:t xml:space="preserve">des enfants; </w:t>
      </w:r>
      <w:r>
        <w:rPr>
          <w:rStyle w:val="Bodytext1"/>
          <w:color w:val="002559"/>
        </w:rPr>
        <w:t>art. 8</w:t>
      </w:r>
      <w:r w:rsidR="00990890">
        <w:rPr>
          <w:rStyle w:val="Bodytext1"/>
          <w:color w:val="002559"/>
        </w:rPr>
        <w:t xml:space="preserve"> EGBGB </w:t>
      </w:r>
      <w:r w:rsidR="00990890" w:rsidRPr="00990890">
        <w:rPr>
          <w:rStyle w:val="Bodytext1"/>
          <w:i/>
          <w:color w:val="002559"/>
        </w:rPr>
        <w:t>(Einführun</w:t>
      </w:r>
      <w:r w:rsidR="00990890">
        <w:rPr>
          <w:rStyle w:val="Bodytext1"/>
          <w:i/>
          <w:color w:val="002559"/>
        </w:rPr>
        <w:t>gsgesetz zum Bürgerlichen Gesetz</w:t>
      </w:r>
      <w:r w:rsidR="00990890" w:rsidRPr="00990890">
        <w:rPr>
          <w:rStyle w:val="Bodytext1"/>
          <w:i/>
          <w:color w:val="002559"/>
        </w:rPr>
        <w:t>buch)</w:t>
      </w:r>
      <w:r w:rsidRPr="00990890">
        <w:rPr>
          <w:rStyle w:val="Bodytext1"/>
          <w:i/>
          <w:color w:val="002559"/>
        </w:rPr>
        <w:t>;</w:t>
      </w:r>
      <w:r>
        <w:rPr>
          <w:rStyle w:val="Bodytext1"/>
          <w:color w:val="002559"/>
        </w:rPr>
        <w:t xml:space="preserve"> EGBGB ancienne version art. 14, 15 — Ukraine</w:t>
      </w:r>
      <w:r w:rsidR="00D22CC8">
        <w:rPr>
          <w:rStyle w:val="Bodytext1"/>
          <w:color w:val="002559"/>
        </w:rPr>
        <w:t xml:space="preserve"> </w:t>
      </w:r>
      <w:r>
        <w:rPr>
          <w:rStyle w:val="Bodytext1"/>
          <w:color w:val="002559"/>
        </w:rPr>
        <w:t xml:space="preserve">: Questions juridiques fréquentes liées aux </w:t>
      </w:r>
      <w:r w:rsidR="00D22CC8">
        <w:rPr>
          <w:rStyle w:val="Bodytext1"/>
          <w:color w:val="002559"/>
        </w:rPr>
        <w:t>ressortissants</w:t>
      </w:r>
      <w:r>
        <w:rPr>
          <w:rStyle w:val="Bodytext1"/>
          <w:color w:val="002559"/>
        </w:rPr>
        <w:t xml:space="preserve"> ukrainiens dans la pratique notariale</w:t>
      </w:r>
    </w:p>
    <w:p w:rsidR="007E4B11" w:rsidRDefault="007E4B11">
      <w:pPr>
        <w:pStyle w:val="Heading410"/>
        <w:keepNext/>
        <w:keepLines/>
        <w:spacing w:line="240" w:lineRule="auto"/>
        <w:ind w:left="4680"/>
        <w:sectPr w:rsidR="007E4B11">
          <w:type w:val="continuous"/>
          <w:pgSz w:w="11900" w:h="16840"/>
          <w:pgMar w:top="961" w:right="1414" w:bottom="1476" w:left="1409" w:header="0" w:footer="3" w:gutter="0"/>
          <w:cols w:space="720"/>
          <w:noEndnote/>
          <w:docGrid w:linePitch="360"/>
        </w:sectPr>
      </w:pPr>
    </w:p>
    <w:p w:rsidR="007E4B11" w:rsidRDefault="007E4B11">
      <w:pPr>
        <w:spacing w:before="86" w:after="86" w:line="240" w:lineRule="exact"/>
        <w:rPr>
          <w:sz w:val="19"/>
        </w:rPr>
      </w:pPr>
    </w:p>
    <w:p w:rsidR="007E4B11" w:rsidRDefault="007E4B11">
      <w:pPr>
        <w:spacing w:line="1" w:lineRule="exact"/>
        <w:sectPr w:rsidR="007E4B11">
          <w:type w:val="continuous"/>
          <w:pgSz w:w="11900" w:h="16840"/>
          <w:pgMar w:top="961" w:right="0" w:bottom="1476" w:left="0" w:header="0" w:footer="3" w:gutter="0"/>
          <w:cols w:space="720"/>
          <w:noEndnote/>
          <w:docGrid w:linePitch="360"/>
        </w:sectPr>
      </w:pPr>
    </w:p>
    <w:p w:rsidR="007E4B11" w:rsidRDefault="00AE78C9">
      <w:pPr>
        <w:pStyle w:val="Heading310"/>
        <w:keepNext/>
        <w:keepLines/>
        <w:spacing w:after="500" w:line="187" w:lineRule="auto"/>
        <w:jc w:val="both"/>
      </w:pPr>
      <w:bookmarkStart w:id="4" w:name="bookmark10"/>
      <w:r>
        <w:rPr>
          <w:rStyle w:val="Heading31"/>
          <w:b/>
        </w:rPr>
        <w:t>De la pratique d’expertise du DNotI</w:t>
      </w:r>
      <w:bookmarkEnd w:id="4"/>
    </w:p>
    <w:p w:rsidR="007E4B11" w:rsidRDefault="00AE78C9">
      <w:pPr>
        <w:pStyle w:val="Bodytext10"/>
        <w:spacing w:after="0"/>
        <w:jc w:val="both"/>
        <w:rPr>
          <w:sz w:val="24"/>
        </w:rPr>
      </w:pPr>
      <w:r>
        <w:rPr>
          <w:rStyle w:val="Bodytext1"/>
          <w:b/>
          <w:color w:val="005AAA"/>
          <w:sz w:val="24"/>
        </w:rPr>
        <w:t>Ar</w:t>
      </w:r>
      <w:r w:rsidR="00990890">
        <w:rPr>
          <w:rStyle w:val="Bodytext1"/>
          <w:b/>
          <w:color w:val="005AAA"/>
          <w:sz w:val="24"/>
        </w:rPr>
        <w:t>ticle 22 du règlement 2019/1103</w:t>
      </w:r>
      <w:r>
        <w:rPr>
          <w:rStyle w:val="Bodytext1"/>
          <w:b/>
          <w:color w:val="005AAA"/>
          <w:sz w:val="24"/>
        </w:rPr>
        <w:t>; Articl</w:t>
      </w:r>
      <w:r w:rsidR="00990890">
        <w:rPr>
          <w:rStyle w:val="Bodytext1"/>
          <w:b/>
          <w:color w:val="005AAA"/>
          <w:sz w:val="24"/>
        </w:rPr>
        <w:t xml:space="preserve">es 21, 34 et 75 du règlement </w:t>
      </w:r>
      <w:r>
        <w:rPr>
          <w:rStyle w:val="Bodytext1"/>
          <w:b/>
          <w:color w:val="005AAA"/>
          <w:sz w:val="24"/>
        </w:rPr>
        <w:t>650/2012;</w:t>
      </w:r>
    </w:p>
    <w:p w:rsidR="007E4B11" w:rsidRDefault="00AE78C9">
      <w:pPr>
        <w:pStyle w:val="Bodytext10"/>
        <w:spacing w:after="0"/>
        <w:jc w:val="both"/>
        <w:rPr>
          <w:sz w:val="24"/>
        </w:rPr>
      </w:pPr>
      <w:r>
        <w:rPr>
          <w:rStyle w:val="Bodytext1"/>
          <w:b/>
          <w:color w:val="005AAA"/>
          <w:sz w:val="24"/>
        </w:rPr>
        <w:t>L’article 16</w:t>
      </w:r>
      <w:r w:rsidR="00CF1452">
        <w:rPr>
          <w:rStyle w:val="Bodytext1"/>
          <w:b/>
          <w:color w:val="005AAA"/>
          <w:sz w:val="24"/>
        </w:rPr>
        <w:t xml:space="preserve"> de la </w:t>
      </w:r>
      <w:r w:rsidR="00CF1452" w:rsidRPr="00CF1452">
        <w:rPr>
          <w:rStyle w:val="Bodytext1"/>
          <w:b/>
          <w:color w:val="005AAA"/>
          <w:sz w:val="24"/>
        </w:rPr>
        <w:t>Convention de la Haye du 19 octobre 1996 concernant la compétence, la loi applicable, la reconnaissance, l’exécution et la coopération en matière de responsabilité parentale et de mesures de protection des enfants</w:t>
      </w:r>
      <w:r>
        <w:rPr>
          <w:rStyle w:val="Bodytext1"/>
          <w:b/>
          <w:color w:val="005AAA"/>
          <w:sz w:val="24"/>
        </w:rPr>
        <w:t xml:space="preserve">; EGBGB </w:t>
      </w:r>
      <w:r w:rsidR="00990890" w:rsidRPr="00CF1452">
        <w:rPr>
          <w:rStyle w:val="Bodytext1"/>
          <w:b/>
          <w:i/>
          <w:color w:val="005AAA"/>
          <w:sz w:val="24"/>
        </w:rPr>
        <w:t>(Einführungsgesetz zum Bürgerlichen Gesetzbuch</w:t>
      </w:r>
      <w:r w:rsidR="00CF1452" w:rsidRPr="00CF1452">
        <w:rPr>
          <w:rStyle w:val="Bodytext1"/>
          <w:b/>
          <w:i/>
          <w:color w:val="005AAA"/>
          <w:sz w:val="24"/>
        </w:rPr>
        <w:t>)</w:t>
      </w:r>
      <w:r w:rsidR="00990890">
        <w:rPr>
          <w:rStyle w:val="Bodytext1"/>
          <w:b/>
          <w:color w:val="005AAA"/>
          <w:sz w:val="24"/>
        </w:rPr>
        <w:t xml:space="preserve"> </w:t>
      </w:r>
      <w:r>
        <w:rPr>
          <w:rStyle w:val="Bodytext1"/>
          <w:b/>
          <w:color w:val="005AAA"/>
          <w:sz w:val="24"/>
        </w:rPr>
        <w:t>art. 8; EGBGB ancienne version art. 14, 15</w:t>
      </w:r>
    </w:p>
    <w:p w:rsidR="007E4B11" w:rsidRDefault="00AE78C9">
      <w:pPr>
        <w:pStyle w:val="Bodytext10"/>
        <w:pBdr>
          <w:bottom w:val="single" w:sz="4" w:space="0" w:color="auto"/>
        </w:pBdr>
        <w:spacing w:after="320"/>
        <w:jc w:val="both"/>
        <w:rPr>
          <w:sz w:val="24"/>
        </w:rPr>
      </w:pPr>
      <w:r>
        <w:rPr>
          <w:rStyle w:val="Bodytext1"/>
          <w:b/>
          <w:color w:val="005AAA"/>
          <w:sz w:val="24"/>
        </w:rPr>
        <w:t>Ukraine</w:t>
      </w:r>
      <w:r w:rsidR="00D22CC8">
        <w:rPr>
          <w:rStyle w:val="Bodytext1"/>
          <w:b/>
          <w:color w:val="005AAA"/>
          <w:sz w:val="24"/>
        </w:rPr>
        <w:t xml:space="preserve"> </w:t>
      </w:r>
      <w:r>
        <w:rPr>
          <w:rStyle w:val="Bodytext1"/>
          <w:b/>
          <w:color w:val="005AAA"/>
          <w:sz w:val="24"/>
        </w:rPr>
        <w:t>: Questions juridiques fréquentes en relation</w:t>
      </w:r>
      <w:r w:rsidR="00990890">
        <w:rPr>
          <w:rStyle w:val="Bodytext1"/>
          <w:b/>
          <w:color w:val="005AAA"/>
          <w:sz w:val="24"/>
        </w:rPr>
        <w:t xml:space="preserve"> </w:t>
      </w:r>
      <w:r>
        <w:rPr>
          <w:rStyle w:val="Bodytext1"/>
          <w:b/>
          <w:color w:val="005AAA"/>
          <w:sz w:val="24"/>
        </w:rPr>
        <w:softHyphen/>
        <w:t xml:space="preserve">avec les </w:t>
      </w:r>
      <w:r w:rsidR="00D22CC8">
        <w:rPr>
          <w:rStyle w:val="Bodytext1"/>
          <w:b/>
          <w:color w:val="005AAA"/>
          <w:sz w:val="24"/>
        </w:rPr>
        <w:t>ressortissants</w:t>
      </w:r>
      <w:r w:rsidR="00990890">
        <w:rPr>
          <w:rStyle w:val="Bodytext1"/>
          <w:b/>
          <w:color w:val="005AAA"/>
          <w:sz w:val="24"/>
        </w:rPr>
        <w:t xml:space="preserve"> ukrainiens</w:t>
      </w:r>
      <w:r>
        <w:rPr>
          <w:rStyle w:val="Bodytext1"/>
          <w:b/>
          <w:color w:val="005AAA"/>
          <w:sz w:val="24"/>
        </w:rPr>
        <w:t xml:space="preserve"> dans la pratique notariale</w:t>
      </w:r>
    </w:p>
    <w:p w:rsidR="007E4B11" w:rsidRDefault="00AE78C9">
      <w:pPr>
        <w:pStyle w:val="Bodytext10"/>
        <w:spacing w:line="230" w:lineRule="auto"/>
        <w:jc w:val="both"/>
      </w:pPr>
      <w:r>
        <w:rPr>
          <w:rStyle w:val="Bodytext1"/>
        </w:rPr>
        <w:t xml:space="preserve">Dans le contexte de la guerre en Ukraine, les </w:t>
      </w:r>
      <w:r>
        <w:rPr>
          <w:rStyle w:val="Bodytext1"/>
        </w:rPr>
        <w:t xml:space="preserve">questions juridiques liées aux </w:t>
      </w:r>
      <w:r w:rsidR="00D22CC8">
        <w:rPr>
          <w:rStyle w:val="Bodytext1"/>
        </w:rPr>
        <w:t>ressortissants</w:t>
      </w:r>
      <w:r>
        <w:rPr>
          <w:rStyle w:val="Bodytext1"/>
        </w:rPr>
        <w:t xml:space="preserve"> ukrainiens se posent de plus en plus dans la pratique notariale. Le résumé ci-dessous vise à donner une vue d’ensemble des principales questions juridiques en la matière.</w:t>
      </w:r>
    </w:p>
    <w:p w:rsidR="007E4B11" w:rsidRDefault="00AE78C9">
      <w:pPr>
        <w:pStyle w:val="Heading410"/>
        <w:keepNext/>
        <w:keepLines/>
        <w:spacing w:line="233" w:lineRule="auto"/>
        <w:jc w:val="both"/>
      </w:pPr>
      <w:bookmarkStart w:id="5" w:name="bookmark12"/>
      <w:r>
        <w:rPr>
          <w:rStyle w:val="Heading41"/>
          <w:b/>
        </w:rPr>
        <w:t>1. Quel est le régime matrimonial légal en Ukraine</w:t>
      </w:r>
      <w:r w:rsidR="00D22CC8">
        <w:rPr>
          <w:rStyle w:val="Heading41"/>
          <w:b/>
        </w:rPr>
        <w:t xml:space="preserve"> </w:t>
      </w:r>
      <w:r>
        <w:rPr>
          <w:rStyle w:val="Heading41"/>
          <w:b/>
        </w:rPr>
        <w:t>?</w:t>
      </w:r>
      <w:bookmarkEnd w:id="5"/>
    </w:p>
    <w:p w:rsidR="007E4B11" w:rsidRDefault="00AE78C9">
      <w:pPr>
        <w:pStyle w:val="Bodytext10"/>
        <w:spacing w:line="233" w:lineRule="auto"/>
        <w:jc w:val="both"/>
      </w:pPr>
      <w:r>
        <w:rPr>
          <w:rStyle w:val="Bodytext1"/>
        </w:rPr>
        <w:t>Le régime matrimonial légal en Ukraine est un</w:t>
      </w:r>
      <w:r w:rsidR="00CF1452">
        <w:rPr>
          <w:rStyle w:val="Bodytext1"/>
        </w:rPr>
        <w:t>e forme de communauté réduite aux acquêts</w:t>
      </w:r>
      <w:r>
        <w:rPr>
          <w:rStyle w:val="Bodytext1"/>
        </w:rPr>
        <w:t>. Le patrimoine acquis à titre onéreux au</w:t>
      </w:r>
      <w:r w:rsidR="00CF1452">
        <w:rPr>
          <w:rStyle w:val="Bodytext1"/>
        </w:rPr>
        <w:t xml:space="preserve"> cours du mariage appartient aux époux</w:t>
      </w:r>
      <w:r>
        <w:rPr>
          <w:rStyle w:val="Bodytext1"/>
        </w:rPr>
        <w:t xml:space="preserve"> en tant que copropriété collective</w:t>
      </w:r>
      <w:r w:rsidR="00CF1452">
        <w:rPr>
          <w:rStyle w:val="Bodytext1"/>
        </w:rPr>
        <w:t xml:space="preserve"> en indivision (art. 60 du c</w:t>
      </w:r>
      <w:r>
        <w:rPr>
          <w:rStyle w:val="Bodytext1"/>
        </w:rPr>
        <w:t xml:space="preserve">ode </w:t>
      </w:r>
      <w:r w:rsidR="00CF1452">
        <w:rPr>
          <w:rStyle w:val="Bodytext1"/>
        </w:rPr>
        <w:t xml:space="preserve">ukrainien </w:t>
      </w:r>
      <w:r>
        <w:rPr>
          <w:rStyle w:val="Bodytext1"/>
        </w:rPr>
        <w:t xml:space="preserve">de la famille du </w:t>
      </w:r>
      <w:r w:rsidR="00CF1452">
        <w:rPr>
          <w:rStyle w:val="Bodytext1"/>
        </w:rPr>
        <w:t>10 janvier 2002). Les biens communs comprennent</w:t>
      </w:r>
      <w:r>
        <w:rPr>
          <w:rStyle w:val="Bodytext1"/>
        </w:rPr>
        <w:t>, entre autres, les biens acquis au titre de la famille pendant le mariage et les revenus de l’épouse et de l’époux (</w:t>
      </w:r>
      <w:r w:rsidR="00CF1452">
        <w:rPr>
          <w:rStyle w:val="Bodytext1"/>
        </w:rPr>
        <w:t>se reporter à l’</w:t>
      </w:r>
      <w:r>
        <w:rPr>
          <w:rStyle w:val="Bodytext1"/>
        </w:rPr>
        <w:t>article 61</w:t>
      </w:r>
      <w:r w:rsidR="00CF1452">
        <w:rPr>
          <w:rStyle w:val="Bodytext1"/>
        </w:rPr>
        <w:t xml:space="preserve"> du code ukrainien de la famille</w:t>
      </w:r>
      <w:r>
        <w:rPr>
          <w:rStyle w:val="Bodytext1"/>
        </w:rPr>
        <w:t>; voi</w:t>
      </w:r>
      <w:r w:rsidR="00CF1452">
        <w:rPr>
          <w:rStyle w:val="Bodytext1"/>
        </w:rPr>
        <w:t>r, à ce sujet, Himmelreich</w:t>
      </w:r>
      <w:r>
        <w:rPr>
          <w:rStyle w:val="Bodytext1"/>
        </w:rPr>
        <w:t>, dans</w:t>
      </w:r>
      <w:r w:rsidR="00D22CC8">
        <w:rPr>
          <w:rStyle w:val="Bodytext1"/>
        </w:rPr>
        <w:t xml:space="preserve"> </w:t>
      </w:r>
      <w:r>
        <w:rPr>
          <w:rStyle w:val="Bodytext1"/>
        </w:rPr>
        <w:t>:</w:t>
      </w:r>
      <w:r w:rsidR="00B97211">
        <w:rPr>
          <w:rStyle w:val="Bodytext1"/>
        </w:rPr>
        <w:t xml:space="preserve"> Eherecht in Europa, 4</w:t>
      </w:r>
      <w:r w:rsidR="00B97211" w:rsidRPr="00B97211">
        <w:rPr>
          <w:rStyle w:val="Bodytext1"/>
          <w:vertAlign w:val="superscript"/>
        </w:rPr>
        <w:t>e</w:t>
      </w:r>
      <w:r w:rsidR="00B97211">
        <w:rPr>
          <w:rStyle w:val="Bodytext1"/>
        </w:rPr>
        <w:t xml:space="preserve"> édition 2021, Länderbericht Ukraine, n° 25</w:t>
      </w:r>
      <w:r>
        <w:rPr>
          <w:rStyle w:val="Bodytext1"/>
        </w:rPr>
        <w:t>). C’est le cas quel que soit le nom auquel</w:t>
      </w:r>
      <w:r w:rsidR="00B97211">
        <w:rPr>
          <w:rStyle w:val="Bodytext1"/>
        </w:rPr>
        <w:t xml:space="preserve"> le contrat a été conclu</w:t>
      </w:r>
      <w:r>
        <w:rPr>
          <w:rStyle w:val="Bodytext1"/>
        </w:rPr>
        <w:t xml:space="preserve">. Les biens apportés au mariage ou acquis au cours du mariage par donation ou par succession </w:t>
      </w:r>
      <w:r w:rsidR="00B97211">
        <w:rPr>
          <w:rStyle w:val="Bodytext1"/>
        </w:rPr>
        <w:t xml:space="preserve">sont </w:t>
      </w:r>
      <w:r w:rsidR="00B97211">
        <w:rPr>
          <w:rStyle w:val="Bodytext1"/>
        </w:rPr>
        <w:lastRenderedPageBreak/>
        <w:t>exclus de la com</w:t>
      </w:r>
      <w:r w:rsidR="00D22CC8">
        <w:rPr>
          <w:rStyle w:val="Bodytext1"/>
        </w:rPr>
        <w:t>m</w:t>
      </w:r>
      <w:r w:rsidR="00B97211">
        <w:rPr>
          <w:rStyle w:val="Bodytext1"/>
        </w:rPr>
        <w:t>unauté</w:t>
      </w:r>
      <w:r>
        <w:rPr>
          <w:rStyle w:val="Bodytext1"/>
        </w:rPr>
        <w:t xml:space="preserve">. Les dispositions pertinentes des articles 57 et 58 </w:t>
      </w:r>
      <w:r w:rsidR="00B97211">
        <w:rPr>
          <w:rStyle w:val="Bodytext1"/>
        </w:rPr>
        <w:t xml:space="preserve"> du code ukrainien de la famille disposent comme suit </w:t>
      </w:r>
      <w:r>
        <w:rPr>
          <w:rStyle w:val="Bodytext1"/>
        </w:rPr>
        <w:t>(Daschenko, in</w:t>
      </w:r>
      <w:r w:rsidR="00D22CC8">
        <w:rPr>
          <w:rStyle w:val="Bodytext1"/>
        </w:rPr>
        <w:t xml:space="preserve"> </w:t>
      </w:r>
      <w:r>
        <w:rPr>
          <w:rStyle w:val="Bodytext1"/>
        </w:rPr>
        <w:t xml:space="preserve">: Bergmann/Ferid, </w:t>
      </w:r>
      <w:r w:rsidR="00B97211">
        <w:rPr>
          <w:rStyle w:val="Bodytext1"/>
        </w:rPr>
        <w:t xml:space="preserve"> Internationales Ehe- und Kindschaftsrecht, Länderbericht Ukraine du 31.1.2018, page </w:t>
      </w:r>
      <w:r>
        <w:rPr>
          <w:rStyle w:val="Bodytext1"/>
        </w:rPr>
        <w:t>71)</w:t>
      </w:r>
      <w:r w:rsidR="00D22CC8">
        <w:rPr>
          <w:rStyle w:val="Bodytext1"/>
        </w:rPr>
        <w:t xml:space="preserve"> </w:t>
      </w:r>
      <w:r>
        <w:rPr>
          <w:rStyle w:val="Bodytext1"/>
        </w:rPr>
        <w:t>:</w:t>
      </w:r>
    </w:p>
    <w:p w:rsidR="007E4B11" w:rsidRDefault="00AE78C9">
      <w:pPr>
        <w:pStyle w:val="Bodytext10"/>
        <w:spacing w:line="228" w:lineRule="auto"/>
        <w:jc w:val="both"/>
      </w:pPr>
      <w:r>
        <w:rPr>
          <w:rStyle w:val="Bodytext1"/>
          <w:b/>
          <w:i/>
        </w:rPr>
        <w:t>Art. 57 Patrimoine privé personnel d’un conjoint</w:t>
      </w:r>
    </w:p>
    <w:p w:rsidR="007E4B11" w:rsidRDefault="00B97211" w:rsidP="00B97211">
      <w:pPr>
        <w:pStyle w:val="Bodytext10"/>
        <w:numPr>
          <w:ilvl w:val="0"/>
          <w:numId w:val="1"/>
        </w:numPr>
        <w:tabs>
          <w:tab w:val="left" w:pos="134"/>
        </w:tabs>
        <w:spacing w:line="233" w:lineRule="auto"/>
        <w:jc w:val="both"/>
      </w:pPr>
      <w:r>
        <w:rPr>
          <w:rStyle w:val="Bodytext1"/>
          <w:i/>
        </w:rPr>
        <w:t>Font partie de l</w:t>
      </w:r>
      <w:r w:rsidR="00AE78C9">
        <w:rPr>
          <w:rStyle w:val="Bodytext1"/>
          <w:i/>
        </w:rPr>
        <w:t>a propriété privée pe</w:t>
      </w:r>
      <w:r>
        <w:rPr>
          <w:rStyle w:val="Bodytext1"/>
          <w:i/>
        </w:rPr>
        <w:t>rsonnelle de l’épouse ou de l’époux :</w:t>
      </w:r>
    </w:p>
    <w:p w:rsidR="007E4B11" w:rsidRDefault="00AE78C9" w:rsidP="00B97211">
      <w:pPr>
        <w:pStyle w:val="Bodytext10"/>
        <w:numPr>
          <w:ilvl w:val="0"/>
          <w:numId w:val="5"/>
        </w:numPr>
        <w:tabs>
          <w:tab w:val="left" w:pos="250"/>
        </w:tabs>
        <w:spacing w:line="233" w:lineRule="auto"/>
        <w:jc w:val="both"/>
      </w:pPr>
      <w:r>
        <w:rPr>
          <w:rStyle w:val="Bodytext1"/>
          <w:i/>
        </w:rPr>
        <w:t>les biens acquis par elle ou par lui avant le</w:t>
      </w:r>
      <w:r>
        <w:rPr>
          <w:rStyle w:val="Bodytext1"/>
          <w:i/>
        </w:rPr>
        <w:softHyphen/>
      </w:r>
      <w:r w:rsidR="00B97211">
        <w:rPr>
          <w:rStyle w:val="Bodytext1"/>
          <w:i/>
        </w:rPr>
        <w:t xml:space="preserve"> </w:t>
      </w:r>
      <w:r>
        <w:rPr>
          <w:rStyle w:val="Bodytext1"/>
          <w:i/>
        </w:rPr>
        <w:t>mariage;</w:t>
      </w:r>
    </w:p>
    <w:p w:rsidR="007E4B11" w:rsidRDefault="00AE78C9" w:rsidP="00B97211">
      <w:pPr>
        <w:pStyle w:val="Bodytext10"/>
        <w:numPr>
          <w:ilvl w:val="0"/>
          <w:numId w:val="5"/>
        </w:numPr>
        <w:tabs>
          <w:tab w:val="left" w:pos="274"/>
        </w:tabs>
        <w:spacing w:line="233" w:lineRule="auto"/>
        <w:jc w:val="both"/>
      </w:pPr>
      <w:r>
        <w:rPr>
          <w:rStyle w:val="Bodytext1"/>
          <w:i/>
        </w:rPr>
        <w:t xml:space="preserve">les biens acquis par elle-même ou par lui dans le mariage, </w:t>
      </w:r>
      <w:r w:rsidR="00B97211">
        <w:rPr>
          <w:rStyle w:val="Bodytext1"/>
          <w:i/>
        </w:rPr>
        <w:t>en vertu d’une donation ou d’</w:t>
      </w:r>
      <w:r w:rsidR="00176E1B">
        <w:rPr>
          <w:rStyle w:val="Bodytext1"/>
          <w:i/>
        </w:rPr>
        <w:t>une succession</w:t>
      </w:r>
      <w:r w:rsidR="00B97211">
        <w:rPr>
          <w:rStyle w:val="Bodytext1"/>
          <w:i/>
        </w:rPr>
        <w:t> ;</w:t>
      </w:r>
    </w:p>
    <w:p w:rsidR="007E4B11" w:rsidRDefault="00AE78C9" w:rsidP="00B97211">
      <w:pPr>
        <w:pStyle w:val="Bodytext10"/>
        <w:numPr>
          <w:ilvl w:val="0"/>
          <w:numId w:val="5"/>
        </w:numPr>
        <w:tabs>
          <w:tab w:val="left" w:pos="291"/>
        </w:tabs>
        <w:spacing w:line="233" w:lineRule="auto"/>
        <w:jc w:val="both"/>
      </w:pPr>
      <w:r>
        <w:rPr>
          <w:rStyle w:val="Bodytext1"/>
          <w:i/>
        </w:rPr>
        <w:t>les biens acquis par elle-même ou par lui</w:t>
      </w:r>
      <w:r w:rsidR="00176E1B">
        <w:rPr>
          <w:rStyle w:val="Bodytext1"/>
          <w:i/>
        </w:rPr>
        <w:t>-même</w:t>
      </w:r>
      <w:r>
        <w:rPr>
          <w:rStyle w:val="Bodytext1"/>
          <w:i/>
        </w:rPr>
        <w:t xml:space="preserve"> dans le mariage, mais par ses moyens personnels.</w:t>
      </w:r>
    </w:p>
    <w:p w:rsidR="007E4B11" w:rsidRDefault="00AE78C9">
      <w:pPr>
        <w:pStyle w:val="Bodytext10"/>
        <w:numPr>
          <w:ilvl w:val="0"/>
          <w:numId w:val="2"/>
        </w:numPr>
        <w:tabs>
          <w:tab w:val="left" w:pos="356"/>
        </w:tabs>
        <w:spacing w:line="230" w:lineRule="auto"/>
        <w:jc w:val="both"/>
      </w:pPr>
      <w:r>
        <w:rPr>
          <w:rStyle w:val="Bodytext1"/>
          <w:i/>
        </w:rPr>
        <w:t xml:space="preserve">La propriété privée personnelle de l’épouse ou de l’époux </w:t>
      </w:r>
      <w:r w:rsidR="00176E1B">
        <w:rPr>
          <w:rStyle w:val="Bodytext1"/>
          <w:i/>
        </w:rPr>
        <w:t xml:space="preserve">sont des </w:t>
      </w:r>
      <w:r>
        <w:rPr>
          <w:rStyle w:val="Bodytext1"/>
          <w:i/>
        </w:rPr>
        <w:t>bien</w:t>
      </w:r>
      <w:r w:rsidR="00176E1B">
        <w:rPr>
          <w:rStyle w:val="Bodytext1"/>
          <w:i/>
        </w:rPr>
        <w:t>s</w:t>
      </w:r>
      <w:r>
        <w:rPr>
          <w:rStyle w:val="Bodytext1"/>
          <w:i/>
        </w:rPr>
        <w:t xml:space="preserve"> d’usage individuel, y compris des biens de valeur, mê</w:t>
      </w:r>
      <w:r w:rsidR="00176E1B">
        <w:rPr>
          <w:rStyle w:val="Bodytext1"/>
          <w:i/>
        </w:rPr>
        <w:t xml:space="preserve">me s’ils ont été acquis avec des </w:t>
      </w:r>
      <w:r>
        <w:rPr>
          <w:rStyle w:val="Bodytext1"/>
          <w:i/>
        </w:rPr>
        <w:t>fonds communs des époux.</w:t>
      </w:r>
    </w:p>
    <w:p w:rsidR="007E4B11" w:rsidRPr="00154B69" w:rsidRDefault="00AE78C9">
      <w:pPr>
        <w:pStyle w:val="Bodytext10"/>
        <w:numPr>
          <w:ilvl w:val="0"/>
          <w:numId w:val="2"/>
        </w:numPr>
        <w:tabs>
          <w:tab w:val="left" w:pos="361"/>
        </w:tabs>
        <w:spacing w:line="230" w:lineRule="auto"/>
        <w:jc w:val="both"/>
        <w:rPr>
          <w:rStyle w:val="Bodytext1"/>
        </w:rPr>
      </w:pPr>
      <w:r>
        <w:rPr>
          <w:rStyle w:val="Bodytext1"/>
          <w:i/>
        </w:rPr>
        <w:t>Les biens privés pers</w:t>
      </w:r>
      <w:r w:rsidR="00176E1B">
        <w:rPr>
          <w:rStyle w:val="Bodytext1"/>
          <w:i/>
        </w:rPr>
        <w:t xml:space="preserve">onnels de l’épouse ou de l’époux </w:t>
      </w:r>
      <w:r>
        <w:rPr>
          <w:rStyle w:val="Bodytext1"/>
          <w:i/>
        </w:rPr>
        <w:t>sont des</w:t>
      </w:r>
      <w:r w:rsidR="00176E1B">
        <w:rPr>
          <w:rStyle w:val="Bodytext1"/>
          <w:i/>
        </w:rPr>
        <w:t xml:space="preserve"> primes et des récompenses</w:t>
      </w:r>
      <w:r>
        <w:rPr>
          <w:rStyle w:val="Bodytext1"/>
          <w:i/>
        </w:rPr>
        <w:t xml:space="preserve"> qu’ils ont reçues pour</w:t>
      </w:r>
      <w:r>
        <w:rPr>
          <w:rStyle w:val="Bodytext1"/>
          <w:i/>
        </w:rPr>
        <w:softHyphen/>
      </w:r>
      <w:r w:rsidR="00176E1B">
        <w:rPr>
          <w:rStyle w:val="Bodytext1"/>
          <w:i/>
        </w:rPr>
        <w:t xml:space="preserve"> </w:t>
      </w:r>
      <w:r>
        <w:rPr>
          <w:rStyle w:val="Bodytext1"/>
          <w:i/>
        </w:rPr>
        <w:t>des mérites personnels. Le tribunal peut reconnaître le droit de l’autre conjoint d’obtenir une partie de cet</w:t>
      </w:r>
      <w:r w:rsidR="00176E1B">
        <w:rPr>
          <w:rStyle w:val="Bodytext1"/>
          <w:i/>
        </w:rPr>
        <w:t>te prime ou de</w:t>
      </w:r>
      <w:r w:rsidR="00D22CC8">
        <w:rPr>
          <w:rStyle w:val="Bodytext1"/>
          <w:i/>
        </w:rPr>
        <w:t xml:space="preserve"> cette</w:t>
      </w:r>
      <w:r w:rsidR="00176E1B">
        <w:rPr>
          <w:rStyle w:val="Bodytext1"/>
          <w:i/>
        </w:rPr>
        <w:t xml:space="preserve"> récompense s’il est établi que ce dernier</w:t>
      </w:r>
      <w:r>
        <w:rPr>
          <w:rStyle w:val="Bodytext1"/>
          <w:i/>
        </w:rPr>
        <w:t xml:space="preserve"> a </w:t>
      </w:r>
      <w:r w:rsidR="00176E1B">
        <w:rPr>
          <w:rStyle w:val="Bodytext1"/>
          <w:i/>
        </w:rPr>
        <w:t xml:space="preserve">contribué à leur </w:t>
      </w:r>
      <w:r>
        <w:rPr>
          <w:rStyle w:val="Bodytext1"/>
          <w:i/>
        </w:rPr>
        <w:t>maintien par ses actes (</w:t>
      </w:r>
      <w:r w:rsidRPr="00154B69">
        <w:rPr>
          <w:rStyle w:val="Bodytext1"/>
        </w:rPr>
        <w:softHyphen/>
        <w:t>ménages, enfants, etc.).</w:t>
      </w:r>
    </w:p>
    <w:p w:rsidR="007E4B11" w:rsidRPr="00154B69" w:rsidRDefault="00176E1B">
      <w:pPr>
        <w:pStyle w:val="Bodytext10"/>
        <w:numPr>
          <w:ilvl w:val="0"/>
          <w:numId w:val="2"/>
        </w:numPr>
        <w:tabs>
          <w:tab w:val="left" w:pos="361"/>
        </w:tabs>
        <w:spacing w:line="230" w:lineRule="auto"/>
        <w:jc w:val="both"/>
        <w:rPr>
          <w:rStyle w:val="Bodytext1"/>
          <w:i/>
        </w:rPr>
      </w:pPr>
      <w:r w:rsidRPr="00154B69">
        <w:rPr>
          <w:rStyle w:val="Bodytext1"/>
          <w:i/>
        </w:rPr>
        <w:t>Font partie de l</w:t>
      </w:r>
      <w:r w:rsidR="00AE78C9" w:rsidRPr="00154B69">
        <w:rPr>
          <w:rStyle w:val="Bodytext1"/>
          <w:i/>
        </w:rPr>
        <w:t xml:space="preserve">a propriété privée personnelle de l’épouse ou de l’époux </w:t>
      </w:r>
      <w:r w:rsidRPr="00154B69">
        <w:rPr>
          <w:rStyle w:val="Bodytext1"/>
          <w:i/>
        </w:rPr>
        <w:t xml:space="preserve">les moyens qu’ils ont </w:t>
      </w:r>
      <w:r w:rsidR="00AE78C9" w:rsidRPr="00154B69">
        <w:rPr>
          <w:rStyle w:val="Bodytext1"/>
          <w:i/>
        </w:rPr>
        <w:t>reçu</w:t>
      </w:r>
      <w:r w:rsidRPr="00154B69">
        <w:rPr>
          <w:rStyle w:val="Bodytext1"/>
          <w:i/>
        </w:rPr>
        <w:t>s</w:t>
      </w:r>
      <w:r w:rsidR="00AE78C9" w:rsidRPr="00154B69">
        <w:rPr>
          <w:rStyle w:val="Bodytext1"/>
          <w:i/>
        </w:rPr>
        <w:t xml:space="preserve"> à titre d’indemnisation pour les</w:t>
      </w:r>
      <w:r w:rsidR="00AE78C9" w:rsidRPr="00154B69">
        <w:rPr>
          <w:rStyle w:val="Bodytext1"/>
          <w:i/>
        </w:rPr>
        <w:softHyphen/>
      </w:r>
      <w:r w:rsidRPr="00154B69">
        <w:rPr>
          <w:rStyle w:val="Bodytext1"/>
          <w:i/>
        </w:rPr>
        <w:t xml:space="preserve"> </w:t>
      </w:r>
      <w:r w:rsidR="00AE78C9" w:rsidRPr="00154B69">
        <w:rPr>
          <w:rStyle w:val="Bodytext1"/>
          <w:i/>
        </w:rPr>
        <w:t>biens perdus (détérioré</w:t>
      </w:r>
      <w:r w:rsidRPr="00154B69">
        <w:rPr>
          <w:rStyle w:val="Bodytext1"/>
          <w:i/>
        </w:rPr>
        <w:t xml:space="preserve">s) et </w:t>
      </w:r>
      <w:r w:rsidR="00D22CC8">
        <w:rPr>
          <w:rStyle w:val="Bodytext1"/>
          <w:i/>
        </w:rPr>
        <w:t>les</w:t>
      </w:r>
      <w:r w:rsidRPr="00154B69">
        <w:rPr>
          <w:rStyle w:val="Bodytext1"/>
          <w:i/>
        </w:rPr>
        <w:t xml:space="preserve"> dommages moraux qui leur</w:t>
      </w:r>
      <w:r w:rsidR="00AE78C9" w:rsidRPr="00154B69">
        <w:rPr>
          <w:rStyle w:val="Bodytext1"/>
          <w:i/>
        </w:rPr>
        <w:t xml:space="preserve"> ont été causés.</w:t>
      </w:r>
    </w:p>
    <w:p w:rsidR="007E4B11" w:rsidRPr="00154B69" w:rsidRDefault="00176E1B">
      <w:pPr>
        <w:pStyle w:val="Bodytext10"/>
        <w:numPr>
          <w:ilvl w:val="0"/>
          <w:numId w:val="2"/>
        </w:numPr>
        <w:tabs>
          <w:tab w:val="left" w:pos="356"/>
        </w:tabs>
        <w:spacing w:line="230" w:lineRule="auto"/>
        <w:jc w:val="both"/>
        <w:rPr>
          <w:rStyle w:val="Bodytext1"/>
          <w:i/>
        </w:rPr>
      </w:pPr>
      <w:r w:rsidRPr="00154B69">
        <w:rPr>
          <w:rStyle w:val="Bodytext1"/>
          <w:i/>
        </w:rPr>
        <w:t>Fait partie de l</w:t>
      </w:r>
      <w:r w:rsidR="00AE78C9" w:rsidRPr="00154B69">
        <w:rPr>
          <w:rStyle w:val="Bodytext1"/>
          <w:i/>
        </w:rPr>
        <w:t xml:space="preserve">a propriété privée personnelle de l’épouse ou de l’époux </w:t>
      </w:r>
      <w:r w:rsidRPr="00154B69">
        <w:rPr>
          <w:rStyle w:val="Bodytext1"/>
          <w:i/>
        </w:rPr>
        <w:t xml:space="preserve">un </w:t>
      </w:r>
      <w:r w:rsidR="00AE78C9" w:rsidRPr="00154B69">
        <w:rPr>
          <w:rStyle w:val="Bodytext1"/>
          <w:i/>
        </w:rPr>
        <w:t>montant d’assurance qu’elle ou lui a perçu au titre d’une assurance privée ou d’une</w:t>
      </w:r>
      <w:r w:rsidR="00AE78C9" w:rsidRPr="00154B69">
        <w:rPr>
          <w:rStyle w:val="Bodytext1"/>
          <w:i/>
        </w:rPr>
        <w:softHyphen/>
      </w:r>
      <w:r w:rsidRPr="00154B69">
        <w:rPr>
          <w:rStyle w:val="Bodytext1"/>
          <w:i/>
        </w:rPr>
        <w:t xml:space="preserve"> </w:t>
      </w:r>
      <w:r w:rsidR="00AE78C9" w:rsidRPr="00154B69">
        <w:rPr>
          <w:rStyle w:val="Bodytext1"/>
          <w:i/>
        </w:rPr>
        <w:t>assurance personnelle volontaire, pour autant que le</w:t>
      </w:r>
      <w:r w:rsidRPr="00154B69">
        <w:rPr>
          <w:rStyle w:val="Bodytext1"/>
          <w:i/>
        </w:rPr>
        <w:t xml:space="preserve">s </w:t>
      </w:r>
      <w:r w:rsidR="00AE78C9" w:rsidRPr="00154B69">
        <w:rPr>
          <w:rStyle w:val="Bodytext1"/>
          <w:i/>
        </w:rPr>
        <w:t>primes de garantie aient été versées au moyen de ressources appartenant à la propriété personnelle de l’époux concerné.</w:t>
      </w:r>
    </w:p>
    <w:p w:rsidR="007E4B11" w:rsidRPr="00154B69" w:rsidRDefault="00AE78C9">
      <w:pPr>
        <w:pStyle w:val="Bodytext10"/>
        <w:numPr>
          <w:ilvl w:val="0"/>
          <w:numId w:val="2"/>
        </w:numPr>
        <w:tabs>
          <w:tab w:val="left" w:pos="366"/>
        </w:tabs>
        <w:spacing w:line="230" w:lineRule="auto"/>
        <w:jc w:val="both"/>
        <w:rPr>
          <w:rStyle w:val="Bodytext1"/>
          <w:i/>
        </w:rPr>
      </w:pPr>
      <w:r w:rsidRPr="00154B69">
        <w:rPr>
          <w:rStyle w:val="Bodytext1"/>
          <w:i/>
        </w:rPr>
        <w:t xml:space="preserve">Le tribunal peut reconnaître comme propriété privée personnelle de l’épouse ou de l’époux </w:t>
      </w:r>
      <w:r w:rsidR="00176E1B" w:rsidRPr="00154B69">
        <w:rPr>
          <w:rStyle w:val="Bodytext1"/>
          <w:i/>
        </w:rPr>
        <w:t xml:space="preserve">ce </w:t>
      </w:r>
      <w:r w:rsidRPr="00154B69">
        <w:rPr>
          <w:rStyle w:val="Bodytext1"/>
          <w:i/>
        </w:rPr>
        <w:t xml:space="preserve">qui a été acquis par elle ou par lui-même au cours </w:t>
      </w:r>
      <w:r w:rsidR="00176E1B" w:rsidRPr="00154B69">
        <w:rPr>
          <w:rStyle w:val="Bodytext1"/>
          <w:i/>
        </w:rPr>
        <w:t xml:space="preserve">de la période de séparation en lien avec </w:t>
      </w:r>
      <w:r w:rsidRPr="00154B69">
        <w:rPr>
          <w:rStyle w:val="Bodytext1"/>
          <w:i/>
        </w:rPr>
        <w:t>la cessation effective de la relation matrimoniale.</w:t>
      </w:r>
    </w:p>
    <w:p w:rsidR="007E4B11" w:rsidRPr="00154B69" w:rsidRDefault="00AE78C9">
      <w:pPr>
        <w:pStyle w:val="Bodytext10"/>
        <w:numPr>
          <w:ilvl w:val="0"/>
          <w:numId w:val="2"/>
        </w:numPr>
        <w:tabs>
          <w:tab w:val="left" w:pos="356"/>
        </w:tabs>
        <w:spacing w:line="230" w:lineRule="auto"/>
        <w:jc w:val="both"/>
        <w:rPr>
          <w:rStyle w:val="Bodytext1"/>
        </w:rPr>
      </w:pPr>
      <w:r w:rsidRPr="00154B69">
        <w:rPr>
          <w:rStyle w:val="Bodytext1"/>
          <w:i/>
        </w:rPr>
        <w:t>Si l’acqu</w:t>
      </w:r>
      <w:r w:rsidR="00176E1B" w:rsidRPr="00154B69">
        <w:rPr>
          <w:rStyle w:val="Bodytext1"/>
          <w:i/>
        </w:rPr>
        <w:t xml:space="preserve">isition des biens a été réalisée par des fonds communs mais également par des fonds </w:t>
      </w:r>
      <w:r w:rsidRPr="00154B69">
        <w:rPr>
          <w:rStyle w:val="Bodytext1"/>
          <w:i/>
        </w:rPr>
        <w:t>qui appartiennent à l’un des épo</w:t>
      </w:r>
      <w:r w:rsidR="0013790D" w:rsidRPr="00154B69">
        <w:rPr>
          <w:rStyle w:val="Bodytext1"/>
          <w:i/>
        </w:rPr>
        <w:t>ux</w:t>
      </w:r>
      <w:r w:rsidR="0013790D" w:rsidRPr="00154B69">
        <w:rPr>
          <w:rStyle w:val="Bodytext1"/>
          <w:i/>
        </w:rPr>
        <w:softHyphen/>
        <w:t xml:space="preserve">, la part du patrimoine est </w:t>
      </w:r>
      <w:r w:rsidRPr="00154B69">
        <w:rPr>
          <w:rStyle w:val="Bodytext1"/>
          <w:i/>
        </w:rPr>
        <w:t>sa propriété personnelle privée</w:t>
      </w:r>
      <w:r w:rsidR="0013790D" w:rsidRPr="00154B69">
        <w:rPr>
          <w:rStyle w:val="Bodytext1"/>
          <w:i/>
        </w:rPr>
        <w:t xml:space="preserve"> et ce</w:t>
      </w:r>
      <w:r w:rsidR="0013790D" w:rsidRPr="00154B69">
        <w:rPr>
          <w:rStyle w:val="Bodytext1"/>
        </w:rPr>
        <w:t xml:space="preserve">, </w:t>
      </w:r>
      <w:r w:rsidR="0013790D" w:rsidRPr="00154B69">
        <w:rPr>
          <w:rStyle w:val="Bodytext1"/>
          <w:i/>
        </w:rPr>
        <w:t>en fonction du montant de l’apport financier.</w:t>
      </w:r>
      <w:r w:rsidR="0013790D" w:rsidRPr="00154B69">
        <w:rPr>
          <w:rStyle w:val="Bodytext1"/>
        </w:rPr>
        <w:t xml:space="preserve"> </w:t>
      </w:r>
    </w:p>
    <w:p w:rsidR="007E4B11" w:rsidRPr="00154B69" w:rsidRDefault="00AE78C9">
      <w:pPr>
        <w:pStyle w:val="Bodytext10"/>
        <w:spacing w:line="230" w:lineRule="auto"/>
        <w:jc w:val="both"/>
        <w:rPr>
          <w:rStyle w:val="Bodytext1"/>
          <w:b/>
          <w:i/>
        </w:rPr>
      </w:pPr>
      <w:r w:rsidRPr="00154B69">
        <w:rPr>
          <w:rStyle w:val="Bodytext1"/>
          <w:b/>
          <w:i/>
        </w:rPr>
        <w:t>Article 58 Droit aux fruits et au</w:t>
      </w:r>
      <w:r w:rsidR="00D22CC8">
        <w:rPr>
          <w:rStyle w:val="Bodytext1"/>
          <w:b/>
          <w:i/>
        </w:rPr>
        <w:t>x</w:t>
      </w:r>
      <w:r w:rsidRPr="00154B69">
        <w:rPr>
          <w:rStyle w:val="Bodytext1"/>
          <w:b/>
          <w:i/>
        </w:rPr>
        <w:t xml:space="preserve"> revenu</w:t>
      </w:r>
      <w:r w:rsidR="00D22CC8">
        <w:rPr>
          <w:rStyle w:val="Bodytext1"/>
          <w:b/>
          <w:i/>
        </w:rPr>
        <w:t>s</w:t>
      </w:r>
      <w:r w:rsidRPr="00154B69">
        <w:rPr>
          <w:rStyle w:val="Bodytext1"/>
          <w:b/>
          <w:i/>
        </w:rPr>
        <w:t xml:space="preserve"> des biens appartenant à la propriété privée personnelle d’un</w:t>
      </w:r>
      <w:r w:rsidR="0013790D" w:rsidRPr="00154B69">
        <w:rPr>
          <w:rStyle w:val="Bodytext1"/>
          <w:b/>
          <w:i/>
        </w:rPr>
        <w:t xml:space="preserve"> </w:t>
      </w:r>
      <w:r w:rsidRPr="00154B69">
        <w:rPr>
          <w:rStyle w:val="Bodytext1"/>
          <w:b/>
          <w:i/>
        </w:rPr>
        <w:t>conjoint</w:t>
      </w:r>
    </w:p>
    <w:p w:rsidR="007E4B11" w:rsidRPr="00154B69" w:rsidRDefault="00AE78C9">
      <w:pPr>
        <w:pStyle w:val="Bodytext10"/>
        <w:spacing w:line="230" w:lineRule="auto"/>
        <w:jc w:val="both"/>
        <w:rPr>
          <w:rStyle w:val="Bodytext1"/>
          <w:i/>
        </w:rPr>
      </w:pPr>
      <w:r w:rsidRPr="00154B69">
        <w:rPr>
          <w:rStyle w:val="Bodytext1"/>
          <w:i/>
        </w:rPr>
        <w:t>Lorsqu’une chose appartenant à l’un des époux porte des fruits ou produit un rendement (dividende), ce dernier est le propriétaire de ces fruits o</w:t>
      </w:r>
      <w:r w:rsidR="0013790D" w:rsidRPr="00154B69">
        <w:rPr>
          <w:rStyle w:val="Bodytext1"/>
          <w:i/>
        </w:rPr>
        <w:t>u du produit (</w:t>
      </w:r>
      <w:r w:rsidR="0013790D" w:rsidRPr="00154B69">
        <w:rPr>
          <w:rStyle w:val="Bodytext1"/>
          <w:i/>
        </w:rPr>
        <w:softHyphen/>
        <w:t>d</w:t>
      </w:r>
      <w:r w:rsidRPr="00154B69">
        <w:rPr>
          <w:rStyle w:val="Bodytext1"/>
          <w:i/>
        </w:rPr>
        <w:t>es dividendes).</w:t>
      </w:r>
    </w:p>
    <w:p w:rsidR="007E4B11" w:rsidRPr="00154B69" w:rsidRDefault="0013790D">
      <w:pPr>
        <w:pStyle w:val="Bodytext10"/>
        <w:spacing w:after="240" w:line="230" w:lineRule="auto"/>
        <w:jc w:val="both"/>
        <w:rPr>
          <w:rStyle w:val="Bodytext1"/>
        </w:rPr>
      </w:pPr>
      <w:r>
        <w:rPr>
          <w:rStyle w:val="Bodytext1"/>
        </w:rPr>
        <w:lastRenderedPageBreak/>
        <w:t xml:space="preserve">Les </w:t>
      </w:r>
      <w:r w:rsidR="00154B69">
        <w:rPr>
          <w:rStyle w:val="Bodytext1"/>
        </w:rPr>
        <w:t>obje</w:t>
      </w:r>
      <w:r>
        <w:rPr>
          <w:rStyle w:val="Bodytext1"/>
        </w:rPr>
        <w:t xml:space="preserve">ts qui ne relèvent </w:t>
      </w:r>
      <w:r w:rsidR="00AE78C9">
        <w:rPr>
          <w:rStyle w:val="Bodytext1"/>
        </w:rPr>
        <w:t>pas des art. 57, 58</w:t>
      </w:r>
      <w:r>
        <w:rPr>
          <w:rStyle w:val="Bodytext1"/>
        </w:rPr>
        <w:t xml:space="preserve"> du code ukrainien de la famille</w:t>
      </w:r>
      <w:r w:rsidR="00AE78C9">
        <w:rPr>
          <w:rStyle w:val="Bodytext1"/>
        </w:rPr>
        <w:t xml:space="preserve"> </w:t>
      </w:r>
      <w:r>
        <w:rPr>
          <w:rStyle w:val="Bodytext1"/>
        </w:rPr>
        <w:t xml:space="preserve">et </w:t>
      </w:r>
      <w:r w:rsidR="00AE78C9">
        <w:rPr>
          <w:rStyle w:val="Bodytext1"/>
        </w:rPr>
        <w:t xml:space="preserve">qui ont été acquises au cours du mariage </w:t>
      </w:r>
      <w:r>
        <w:rPr>
          <w:rStyle w:val="Bodytext1"/>
        </w:rPr>
        <w:t xml:space="preserve">font partie de la collectivité/ des biens communs. </w:t>
      </w:r>
      <w:r w:rsidR="00AE78C9">
        <w:rPr>
          <w:rStyle w:val="Bodytext1"/>
        </w:rPr>
        <w:t>La poss</w:t>
      </w:r>
      <w:r>
        <w:rPr>
          <w:rStyle w:val="Bodytext1"/>
        </w:rPr>
        <w:t>ession et l’utilisation des biens communs dans leur</w:t>
      </w:r>
      <w:r w:rsidR="00AE78C9">
        <w:rPr>
          <w:rStyle w:val="Bodytext1"/>
        </w:rPr>
        <w:t xml:space="preserve"> ensemble ainsi que les dispositions </w:t>
      </w:r>
      <w:r>
        <w:rPr>
          <w:rStyle w:val="Bodytext1"/>
        </w:rPr>
        <w:t xml:space="preserve">prises par rapport à ces biens </w:t>
      </w:r>
      <w:r w:rsidR="00AE78C9">
        <w:rPr>
          <w:rStyle w:val="Bodytext1"/>
        </w:rPr>
        <w:t>doivent être</w:t>
      </w:r>
      <w:r>
        <w:rPr>
          <w:rStyle w:val="Bodytext1"/>
        </w:rPr>
        <w:t xml:space="preserve"> exercées par la collectivité. L</w:t>
      </w:r>
      <w:r w:rsidR="00AE78C9">
        <w:rPr>
          <w:rStyle w:val="Bodytext1"/>
        </w:rPr>
        <w:t>es époux qui n’ont pas conclu d’accord</w:t>
      </w:r>
      <w:r w:rsidR="00AE78C9">
        <w:rPr>
          <w:rStyle w:val="Bodytext1"/>
        </w:rPr>
        <w:softHyphen/>
      </w:r>
      <w:r>
        <w:rPr>
          <w:rStyle w:val="Bodytext1"/>
        </w:rPr>
        <w:t xml:space="preserve"> </w:t>
      </w:r>
      <w:r w:rsidR="00AE78C9">
        <w:rPr>
          <w:rStyle w:val="Bodytext1"/>
        </w:rPr>
        <w:t xml:space="preserve">contractuel </w:t>
      </w:r>
      <w:r>
        <w:rPr>
          <w:rStyle w:val="Bodytext1"/>
        </w:rPr>
        <w:t xml:space="preserve">contraire </w:t>
      </w:r>
      <w:r w:rsidR="00AE78C9">
        <w:rPr>
          <w:rStyle w:val="Bodytext1"/>
        </w:rPr>
        <w:t>ont les mêmes droits (ar</w:t>
      </w:r>
      <w:r>
        <w:rPr>
          <w:rStyle w:val="Bodytext1"/>
        </w:rPr>
        <w:t xml:space="preserve">t. 65 al. 1, 63 du code ukrainien de la famille, </w:t>
      </w:r>
      <w:r w:rsidR="00AE78C9">
        <w:rPr>
          <w:rStyle w:val="Bodytext1"/>
        </w:rPr>
        <w:t>vo</w:t>
      </w:r>
      <w:r>
        <w:rPr>
          <w:rStyle w:val="Bodytext1"/>
        </w:rPr>
        <w:t xml:space="preserve">ir également Himmelreich, n° </w:t>
      </w:r>
      <w:r w:rsidR="00AE78C9">
        <w:rPr>
          <w:rStyle w:val="Bodytext1"/>
        </w:rPr>
        <w:t>26).</w:t>
      </w:r>
    </w:p>
    <w:p w:rsidR="007E4B11" w:rsidRPr="00154B69" w:rsidRDefault="0013790D">
      <w:pPr>
        <w:pStyle w:val="Bodytext10"/>
        <w:numPr>
          <w:ilvl w:val="0"/>
          <w:numId w:val="3"/>
        </w:numPr>
        <w:tabs>
          <w:tab w:val="left" w:pos="289"/>
        </w:tabs>
        <w:spacing w:after="0" w:line="230" w:lineRule="auto"/>
        <w:jc w:val="both"/>
        <w:rPr>
          <w:rStyle w:val="Bodytext1"/>
          <w:b/>
        </w:rPr>
      </w:pPr>
      <w:r w:rsidRPr="00154B69">
        <w:rPr>
          <w:rStyle w:val="Bodytext1"/>
          <w:b/>
        </w:rPr>
        <w:t xml:space="preserve">Comment le DIP </w:t>
      </w:r>
      <w:r w:rsidR="00AE78C9" w:rsidRPr="00154B69">
        <w:rPr>
          <w:rStyle w:val="Bodytext1"/>
          <w:b/>
        </w:rPr>
        <w:t>ukrainien détermine-t-il la loi applicable aux effets patrimoniaux du mariage</w:t>
      </w:r>
      <w:r w:rsidR="00D22CC8">
        <w:rPr>
          <w:rStyle w:val="Bodytext1"/>
          <w:b/>
        </w:rPr>
        <w:t xml:space="preserve"> </w:t>
      </w:r>
      <w:r w:rsidR="00AE78C9" w:rsidRPr="00154B69">
        <w:rPr>
          <w:rStyle w:val="Bodytext1"/>
          <w:b/>
        </w:rPr>
        <w:t>?</w:t>
      </w:r>
    </w:p>
    <w:p w:rsidR="0013790D" w:rsidRPr="00154B69" w:rsidRDefault="0013790D" w:rsidP="0013790D">
      <w:pPr>
        <w:pStyle w:val="Bodytext10"/>
        <w:tabs>
          <w:tab w:val="left" w:pos="289"/>
        </w:tabs>
        <w:spacing w:after="0" w:line="230" w:lineRule="auto"/>
        <w:jc w:val="both"/>
        <w:rPr>
          <w:rStyle w:val="Bodytext1"/>
        </w:rPr>
      </w:pPr>
    </w:p>
    <w:p w:rsidR="00154B69" w:rsidRDefault="00AE78C9">
      <w:pPr>
        <w:pStyle w:val="Bodytext10"/>
        <w:spacing w:after="240" w:line="230" w:lineRule="auto"/>
        <w:jc w:val="both"/>
        <w:rPr>
          <w:rStyle w:val="Bodytext1"/>
        </w:rPr>
      </w:pPr>
      <w:r>
        <w:rPr>
          <w:rStyle w:val="Bodytext1"/>
        </w:rPr>
        <w:t>Aux fins de l’examen du régime matrimonial applicable, il importe, d’un point de vue allemand, de savoir si le mariage a été conclu avant ou à partir du 29 janvier 2019. Lorsque le mariage a été ou est conclu à partir de cette date</w:t>
      </w:r>
      <w:r w:rsidR="00154B69">
        <w:rPr>
          <w:rStyle w:val="Bodytext1"/>
        </w:rPr>
        <w:t xml:space="preserve">, les effets patrimoniaux sont </w:t>
      </w:r>
      <w:r>
        <w:rPr>
          <w:rStyle w:val="Bodytext1"/>
        </w:rPr>
        <w:t>régis par les règles</w:t>
      </w:r>
      <w:r>
        <w:rPr>
          <w:rStyle w:val="Bodytext1"/>
        </w:rPr>
        <w:softHyphen/>
      </w:r>
      <w:r w:rsidR="00154B69">
        <w:rPr>
          <w:rStyle w:val="Bodytext1"/>
        </w:rPr>
        <w:t xml:space="preserve"> de conflit du </w:t>
      </w:r>
      <w:r w:rsidR="00154B69" w:rsidRPr="00154B69">
        <w:rPr>
          <w:rStyle w:val="Bodytext1"/>
        </w:rPr>
        <w:t>règlement 2019/1103.</w:t>
      </w:r>
      <w:r w:rsidR="00154B69">
        <w:rPr>
          <w:rStyle w:val="Bodytext1"/>
        </w:rPr>
        <w:t xml:space="preserve"> </w:t>
      </w:r>
    </w:p>
    <w:p w:rsidR="007E4B11" w:rsidRDefault="00AE78C9">
      <w:pPr>
        <w:pStyle w:val="Bodytext10"/>
        <w:spacing w:after="240" w:line="230" w:lineRule="auto"/>
        <w:jc w:val="both"/>
      </w:pPr>
      <w:r>
        <w:rPr>
          <w:rStyle w:val="Bodytext1"/>
        </w:rPr>
        <w:t>Si les époux</w:t>
      </w:r>
      <w:r>
        <w:rPr>
          <w:rStyle w:val="Bodytext1"/>
        </w:rPr>
        <w:softHyphen/>
      </w:r>
      <w:r w:rsidR="00154B69">
        <w:rPr>
          <w:rStyle w:val="Bodytext1"/>
        </w:rPr>
        <w:t xml:space="preserve"> </w:t>
      </w:r>
      <w:r>
        <w:rPr>
          <w:rStyle w:val="Bodytext1"/>
        </w:rPr>
        <w:t>se sont mariés le 29 janvier 2019 ou après cette date, les effets patrimoniaux du mariage conformément</w:t>
      </w:r>
      <w:r w:rsidR="00154B69">
        <w:rPr>
          <w:rStyle w:val="Bodytext1"/>
        </w:rPr>
        <w:t xml:space="preserve"> </w:t>
      </w:r>
      <w:r>
        <w:rPr>
          <w:rStyle w:val="Bodytext1"/>
        </w:rPr>
        <w:softHyphen/>
        <w:t xml:space="preserve">à l’article 26, </w:t>
      </w:r>
      <w:r w:rsidR="00154B69">
        <w:rPr>
          <w:rStyle w:val="Bodytext1"/>
        </w:rPr>
        <w:t xml:space="preserve">al. 1 a), </w:t>
      </w:r>
      <w:r w:rsidR="00154B69" w:rsidRPr="00154B69">
        <w:rPr>
          <w:rStyle w:val="Bodytext1"/>
          <w:color w:val="auto"/>
          <w:szCs w:val="22"/>
        </w:rPr>
        <w:t>du règlement 2019/1103</w:t>
      </w:r>
      <w:r w:rsidR="00154B69" w:rsidRPr="00154B69">
        <w:rPr>
          <w:rStyle w:val="Bodytext1"/>
          <w:b/>
          <w:color w:val="auto"/>
          <w:szCs w:val="22"/>
        </w:rPr>
        <w:t xml:space="preserve"> </w:t>
      </w:r>
      <w:r w:rsidRPr="00154B69">
        <w:rPr>
          <w:rStyle w:val="Bodytext1"/>
          <w:color w:val="auto"/>
          <w:szCs w:val="22"/>
        </w:rPr>
        <w:t>sont</w:t>
      </w:r>
      <w:r w:rsidRPr="00154B69">
        <w:rPr>
          <w:rStyle w:val="Bodytext1"/>
          <w:color w:val="auto"/>
        </w:rPr>
        <w:t xml:space="preserve"> </w:t>
      </w:r>
      <w:r>
        <w:rPr>
          <w:rStyle w:val="Bodytext1"/>
        </w:rPr>
        <w:t>régis par la loi de l’État dans lequel les époux ont eu leur première résidence habituelle commune. Par conséquent, si ces deux Ukrainiens ont toujours vécu en Ukraine jusqu’au moment du mariage</w:t>
      </w:r>
      <w:r>
        <w:rPr>
          <w:rStyle w:val="Bodytext1"/>
        </w:rPr>
        <w:softHyphen/>
        <w:t>, le régime matrimonial ukrainien s’appl</w:t>
      </w:r>
      <w:r w:rsidR="00154B69">
        <w:rPr>
          <w:rStyle w:val="Bodytext1"/>
        </w:rPr>
        <w:t>ique. D</w:t>
      </w:r>
      <w:r w:rsidR="00D0567A">
        <w:rPr>
          <w:rStyle w:val="Bodytext1"/>
        </w:rPr>
        <w:t>ans ce cas,</w:t>
      </w:r>
      <w:r w:rsidR="00154B69">
        <w:rPr>
          <w:rStyle w:val="Bodytext1"/>
        </w:rPr>
        <w:t xml:space="preserve"> </w:t>
      </w:r>
      <w:r w:rsidR="00D0567A">
        <w:rPr>
          <w:rStyle w:val="Bodytext1"/>
        </w:rPr>
        <w:t>u</w:t>
      </w:r>
      <w:r w:rsidR="00154B69">
        <w:rPr>
          <w:rStyle w:val="Bodytext1"/>
        </w:rPr>
        <w:t xml:space="preserve">n renvoi </w:t>
      </w:r>
      <w:r w:rsidR="00D0567A">
        <w:rPr>
          <w:rStyle w:val="Bodytext1"/>
        </w:rPr>
        <w:t>par les règles de DIP ukrainiennes ne doit</w:t>
      </w:r>
      <w:r>
        <w:rPr>
          <w:rStyle w:val="Bodytext1"/>
        </w:rPr>
        <w:t xml:space="preserve"> pas être pris en considération</w:t>
      </w:r>
      <w:r w:rsidR="00D0567A">
        <w:rPr>
          <w:rStyle w:val="Bodytext1"/>
        </w:rPr>
        <w:t>,</w:t>
      </w:r>
      <w:r>
        <w:rPr>
          <w:rStyle w:val="Bodytext1"/>
        </w:rPr>
        <w:t xml:space="preserve"> conformément à l’article 32 du règlement </w:t>
      </w:r>
      <w:r w:rsidR="00D0567A">
        <w:rPr>
          <w:rStyle w:val="Bodytext1"/>
        </w:rPr>
        <w:t>2019/1103.</w:t>
      </w:r>
    </w:p>
    <w:p w:rsidR="007E4B11" w:rsidRDefault="00AE78C9">
      <w:pPr>
        <w:pStyle w:val="Bodytext10"/>
        <w:spacing w:after="240" w:line="230" w:lineRule="auto"/>
        <w:jc w:val="both"/>
      </w:pPr>
      <w:r>
        <w:rPr>
          <w:rStyle w:val="Bodytext1"/>
        </w:rPr>
        <w:t xml:space="preserve">En revanche, si les époux </w:t>
      </w:r>
      <w:r w:rsidR="00D0567A">
        <w:rPr>
          <w:rStyle w:val="Bodytext1"/>
        </w:rPr>
        <w:t xml:space="preserve">se sont mariés </w:t>
      </w:r>
      <w:r>
        <w:rPr>
          <w:rStyle w:val="Bodytext1"/>
        </w:rPr>
        <w:t>avant le</w:t>
      </w:r>
      <w:r>
        <w:rPr>
          <w:rStyle w:val="Bodytext1"/>
        </w:rPr>
        <w:softHyphen/>
        <w:t xml:space="preserve">29 janvier 2019, le rattachement objectif des effets </w:t>
      </w:r>
      <w:r w:rsidR="00D0567A">
        <w:rPr>
          <w:rStyle w:val="Bodytext1"/>
        </w:rPr>
        <w:t xml:space="preserve">patrimoniaux du mariage </w:t>
      </w:r>
      <w:r>
        <w:rPr>
          <w:rStyle w:val="Bodytext1"/>
        </w:rPr>
        <w:t>est régi par l’article 15 EGBGB</w:t>
      </w:r>
      <w:r w:rsidR="00D0567A">
        <w:rPr>
          <w:rStyle w:val="Bodytext1"/>
        </w:rPr>
        <w:t xml:space="preserve"> (Einführungsgesetz zum Bürgerlichen Gesetzbuch)</w:t>
      </w:r>
      <w:r>
        <w:rPr>
          <w:rStyle w:val="Bodytext1"/>
        </w:rPr>
        <w:t xml:space="preserve"> ancienne version (</w:t>
      </w:r>
      <w:r w:rsidR="00D0567A">
        <w:rPr>
          <w:rStyle w:val="Bodytext1"/>
        </w:rPr>
        <w:t>se reporter à l’article 69, al.</w:t>
      </w:r>
      <w:r>
        <w:rPr>
          <w:rStyle w:val="Bodytext1"/>
        </w:rPr>
        <w:t xml:space="preserve"> 3, du règlement </w:t>
      </w:r>
      <w:r w:rsidR="00D0567A">
        <w:rPr>
          <w:rStyle w:val="Bodytext1"/>
        </w:rPr>
        <w:t xml:space="preserve">2019/1103 </w:t>
      </w:r>
      <w:r>
        <w:rPr>
          <w:rStyle w:val="Bodytext1"/>
        </w:rPr>
        <w:t>et article 229, paragraphe 47, deuxième alinéa, point 2, EGBGB). Conform</w:t>
      </w:r>
      <w:r w:rsidR="00D0567A">
        <w:rPr>
          <w:rStyle w:val="Bodytext1"/>
        </w:rPr>
        <w:t>ément à l’article 15, al.</w:t>
      </w:r>
      <w:r>
        <w:rPr>
          <w:rStyle w:val="Bodytext1"/>
        </w:rPr>
        <w:t xml:space="preserve"> 1, EGBGB ancienne version, les effets patrimoniaux du mariage sont soumis à la loi applicable lors de la conclusion</w:t>
      </w:r>
      <w:r>
        <w:rPr>
          <w:rStyle w:val="Bodytext1"/>
        </w:rPr>
        <w:softHyphen/>
      </w:r>
      <w:r w:rsidR="00D0567A">
        <w:rPr>
          <w:rStyle w:val="Bodytext1"/>
        </w:rPr>
        <w:t xml:space="preserve"> </w:t>
      </w:r>
      <w:r>
        <w:rPr>
          <w:rStyle w:val="Bodytext1"/>
        </w:rPr>
        <w:t>du mariage pour les effets généraux du mariage. Confor</w:t>
      </w:r>
      <w:r w:rsidR="00D0567A">
        <w:rPr>
          <w:rStyle w:val="Bodytext1"/>
        </w:rPr>
        <w:t>mément à l’article 14, al.</w:t>
      </w:r>
      <w:r>
        <w:rPr>
          <w:rStyle w:val="Bodytext1"/>
        </w:rPr>
        <w:t xml:space="preserve"> 1, point 1, EGBGB ancienne version, il s’agit de la loi de l’État dont </w:t>
      </w:r>
      <w:r w:rsidR="00D0567A">
        <w:rPr>
          <w:rStyle w:val="Bodytext1"/>
        </w:rPr>
        <w:t xml:space="preserve">les époux ont la nationalité </w:t>
      </w:r>
      <w:r>
        <w:rPr>
          <w:rStyle w:val="Bodytext1"/>
        </w:rPr>
        <w:t>lors du</w:t>
      </w:r>
      <w:r w:rsidR="00D0567A">
        <w:rPr>
          <w:rStyle w:val="Bodytext1"/>
        </w:rPr>
        <w:t xml:space="preserve"> </w:t>
      </w:r>
      <w:r>
        <w:rPr>
          <w:rStyle w:val="Bodytext1"/>
        </w:rPr>
        <w:softHyphen/>
        <w:t xml:space="preserve">mariage. Par conséquent, </w:t>
      </w:r>
      <w:r w:rsidR="00D0567A">
        <w:rPr>
          <w:rStyle w:val="Bodytext1"/>
        </w:rPr>
        <w:t xml:space="preserve">si, </w:t>
      </w:r>
      <w:r>
        <w:rPr>
          <w:rStyle w:val="Bodytext1"/>
        </w:rPr>
        <w:t>au moment</w:t>
      </w:r>
      <w:r w:rsidR="00D0567A">
        <w:rPr>
          <w:rStyle w:val="Bodytext1"/>
        </w:rPr>
        <w:t xml:space="preserve"> </w:t>
      </w:r>
      <w:r>
        <w:rPr>
          <w:rStyle w:val="Bodytext1"/>
        </w:rPr>
        <w:softHyphen/>
        <w:t>du mariage, les époux avaient tous deux la</w:t>
      </w:r>
      <w:r w:rsidR="00D0567A">
        <w:rPr>
          <w:rStyle w:val="Bodytext1"/>
        </w:rPr>
        <w:t xml:space="preserve"> nationalité ukrainienne, le DIP</w:t>
      </w:r>
      <w:r>
        <w:rPr>
          <w:rStyle w:val="Bodytext1"/>
        </w:rPr>
        <w:t xml:space="preserve"> allemand renvoie au droit ukrainien. Conformément à l’article </w:t>
      </w:r>
      <w:r w:rsidR="00D0567A">
        <w:rPr>
          <w:rStyle w:val="Bodytext1"/>
        </w:rPr>
        <w:t>4, al. 1 n°1</w:t>
      </w:r>
      <w:r>
        <w:rPr>
          <w:rStyle w:val="Bodytext1"/>
        </w:rPr>
        <w:t>, de l’EGBGB</w:t>
      </w:r>
      <w:r>
        <w:rPr>
          <w:rStyle w:val="Bodytext1"/>
          <w:b/>
        </w:rPr>
        <w:t xml:space="preserve">, </w:t>
      </w:r>
      <w:r w:rsidRPr="00D0567A">
        <w:rPr>
          <w:rStyle w:val="Bodytext1"/>
        </w:rPr>
        <w:t>il s’agit là d’un</w:t>
      </w:r>
      <w:r>
        <w:rPr>
          <w:rStyle w:val="Bodytext1"/>
          <w:b/>
        </w:rPr>
        <w:t xml:space="preserve"> renvoi</w:t>
      </w:r>
      <w:r w:rsidRPr="00D0567A">
        <w:rPr>
          <w:rStyle w:val="Bodytext1"/>
          <w:b/>
        </w:rPr>
        <w:t xml:space="preserve"> </w:t>
      </w:r>
      <w:r w:rsidR="00D0567A" w:rsidRPr="00D0567A">
        <w:rPr>
          <w:rStyle w:val="Bodytext1"/>
          <w:b/>
        </w:rPr>
        <w:t>intégral</w:t>
      </w:r>
      <w:r w:rsidR="00D0567A">
        <w:rPr>
          <w:rStyle w:val="Bodytext1"/>
          <w:b/>
        </w:rPr>
        <w:t xml:space="preserve"> </w:t>
      </w:r>
      <w:r w:rsidR="00D0567A" w:rsidRPr="00D0567A">
        <w:rPr>
          <w:rStyle w:val="Bodytext1"/>
          <w:i/>
        </w:rPr>
        <w:t>(y compris le DIP</w:t>
      </w:r>
      <w:r w:rsidR="00D0567A" w:rsidRPr="00E437EC">
        <w:rPr>
          <w:rStyle w:val="Bodytext1"/>
          <w:b/>
          <w:i/>
        </w:rPr>
        <w:t>)</w:t>
      </w:r>
      <w:r w:rsidRPr="00E437EC">
        <w:rPr>
          <w:rStyle w:val="Bodytext1"/>
          <w:i/>
        </w:rPr>
        <w:t xml:space="preserve">, </w:t>
      </w:r>
      <w:r w:rsidRPr="00E437EC">
        <w:rPr>
          <w:rStyle w:val="Bodytext1"/>
        </w:rPr>
        <w:t>de sorte qu’</w:t>
      </w:r>
      <w:r w:rsidR="00C1388B" w:rsidRPr="00E437EC">
        <w:rPr>
          <w:rStyle w:val="Bodytext1"/>
        </w:rPr>
        <w:t>il convient d’examiner si le DIP</w:t>
      </w:r>
      <w:r w:rsidRPr="00E437EC">
        <w:rPr>
          <w:rStyle w:val="Bodytext1"/>
        </w:rPr>
        <w:t xml:space="preserve"> ukrainien accepte le renvoi ou formule un renvoi </w:t>
      </w:r>
      <w:r w:rsidR="00E437EC" w:rsidRPr="00E437EC">
        <w:rPr>
          <w:rStyle w:val="Bodytext1"/>
        </w:rPr>
        <w:t>au premier ou au second degré</w:t>
      </w:r>
      <w:r w:rsidRPr="00E437EC">
        <w:rPr>
          <w:rStyle w:val="Bodytext1"/>
        </w:rPr>
        <w:t>. À ce</w:t>
      </w:r>
      <w:r w:rsidR="00C1388B" w:rsidRPr="00E437EC">
        <w:rPr>
          <w:rStyle w:val="Bodytext1"/>
        </w:rPr>
        <w:t>t égard, les dispositions du DIP</w:t>
      </w:r>
      <w:r w:rsidRPr="00E437EC">
        <w:rPr>
          <w:rStyle w:val="Bodytext1"/>
        </w:rPr>
        <w:t xml:space="preserve"> ukrainien</w:t>
      </w:r>
      <w:r>
        <w:rPr>
          <w:rStyle w:val="Bodytext1"/>
        </w:rPr>
        <w:t xml:space="preserve"> restent pertinentes pour les </w:t>
      </w:r>
      <w:r w:rsidR="00C1388B">
        <w:rPr>
          <w:rStyle w:val="Bodytext1"/>
        </w:rPr>
        <w:t>mariages soumis au règlement 1103/2019.</w:t>
      </w:r>
    </w:p>
    <w:p w:rsidR="007E4B11" w:rsidRDefault="00AE78C9">
      <w:pPr>
        <w:pStyle w:val="Bodytext10"/>
        <w:spacing w:after="240" w:line="230" w:lineRule="auto"/>
        <w:jc w:val="both"/>
      </w:pPr>
      <w:r>
        <w:rPr>
          <w:rStyle w:val="Bodytext1"/>
        </w:rPr>
        <w:t>En Ukraine, le droit international privé est régi par la loi sur le droit international privé du 23 juin 2005. Celui-ci comprend également le droit</w:t>
      </w:r>
      <w:r w:rsidR="00D22CC8">
        <w:rPr>
          <w:rStyle w:val="Bodytext1"/>
        </w:rPr>
        <w:t xml:space="preserve"> </w:t>
      </w:r>
      <w:r w:rsidR="00C1388B">
        <w:rPr>
          <w:rStyle w:val="Bodytext1"/>
        </w:rPr>
        <w:t xml:space="preserve">international </w:t>
      </w:r>
      <w:r>
        <w:rPr>
          <w:rStyle w:val="Bodytext1"/>
        </w:rPr>
        <w:t xml:space="preserve">de la famille, en particulier le </w:t>
      </w:r>
      <w:r w:rsidR="00C1388B">
        <w:rPr>
          <w:rStyle w:val="Bodytext1"/>
        </w:rPr>
        <w:t>droit international des régimes matrimoniaux.</w:t>
      </w:r>
    </w:p>
    <w:p w:rsidR="007E4B11" w:rsidRDefault="00AE78C9">
      <w:pPr>
        <w:pStyle w:val="Bodytext10"/>
        <w:spacing w:after="240" w:line="230" w:lineRule="auto"/>
        <w:jc w:val="both"/>
      </w:pPr>
      <w:r>
        <w:rPr>
          <w:rStyle w:val="Bodytext1"/>
        </w:rPr>
        <w:t>Conform</w:t>
      </w:r>
      <w:r w:rsidR="00C1388B">
        <w:rPr>
          <w:rStyle w:val="Bodytext1"/>
        </w:rPr>
        <w:t>ément à l’article 61, al.</w:t>
      </w:r>
      <w:r>
        <w:rPr>
          <w:rStyle w:val="Bodytext1"/>
        </w:rPr>
        <w:t xml:space="preserve"> 1, de la loi, les époux peuvent d’abord choisir </w:t>
      </w:r>
      <w:r w:rsidR="00C1388B">
        <w:rPr>
          <w:rStyle w:val="Bodytext1"/>
        </w:rPr>
        <w:t>la loi applicable aux rapports p</w:t>
      </w:r>
      <w:r>
        <w:rPr>
          <w:rStyle w:val="Bodytext1"/>
        </w:rPr>
        <w:t>atrimoniaux du mariage</w:t>
      </w:r>
      <w:r>
        <w:rPr>
          <w:rStyle w:val="Bodytext1"/>
          <w:b/>
        </w:rPr>
        <w:t xml:space="preserve">. </w:t>
      </w:r>
      <w:r>
        <w:rPr>
          <w:rStyle w:val="Bodytext1"/>
        </w:rPr>
        <w:t>À cet égard, le droit ukrainien connaît donc, à l’instar du droit allema</w:t>
      </w:r>
      <w:r w:rsidR="00C1388B">
        <w:rPr>
          <w:rStyle w:val="Bodytext1"/>
        </w:rPr>
        <w:t xml:space="preserve">nd, </w:t>
      </w:r>
      <w:r>
        <w:rPr>
          <w:rStyle w:val="Bodytext1"/>
        </w:rPr>
        <w:softHyphen/>
        <w:t xml:space="preserve">la possibilité d’un </w:t>
      </w:r>
      <w:r>
        <w:rPr>
          <w:rStyle w:val="Bodytext1"/>
          <w:b/>
        </w:rPr>
        <w:t xml:space="preserve">choix </w:t>
      </w:r>
      <w:r w:rsidR="00C1388B">
        <w:rPr>
          <w:rStyle w:val="Bodytext1"/>
          <w:b/>
        </w:rPr>
        <w:t xml:space="preserve">de </w:t>
      </w:r>
      <w:r>
        <w:rPr>
          <w:rStyle w:val="Bodytext1"/>
          <w:b/>
        </w:rPr>
        <w:t>la loi applicable</w:t>
      </w:r>
      <w:r w:rsidR="00C1388B">
        <w:rPr>
          <w:rStyle w:val="Bodytext1"/>
          <w:b/>
        </w:rPr>
        <w:t xml:space="preserve"> </w:t>
      </w:r>
      <w:r w:rsidR="00C1388B" w:rsidRPr="00C1388B">
        <w:rPr>
          <w:rStyle w:val="Bodytext1"/>
        </w:rPr>
        <w:t>au régime matrimonial</w:t>
      </w:r>
      <w:r w:rsidRPr="00C1388B">
        <w:rPr>
          <w:rStyle w:val="Bodytext1"/>
        </w:rPr>
        <w:t>.</w:t>
      </w:r>
    </w:p>
    <w:p w:rsidR="007E4B11" w:rsidRDefault="00AE78C9">
      <w:pPr>
        <w:pStyle w:val="Bodytext10"/>
        <w:spacing w:after="240" w:line="230" w:lineRule="auto"/>
        <w:jc w:val="both"/>
      </w:pPr>
      <w:r>
        <w:rPr>
          <w:rStyle w:val="Bodytext1"/>
        </w:rPr>
        <w:t>Si les époux n’ont pas choisi la loi applicable, les effets patrimoniaux du mariage sont ré</w:t>
      </w:r>
      <w:r w:rsidR="00C1388B">
        <w:rPr>
          <w:rStyle w:val="Bodytext1"/>
        </w:rPr>
        <w:t>gis par l’article 61, al.</w:t>
      </w:r>
      <w:r>
        <w:rPr>
          <w:rStyle w:val="Bodytext1"/>
        </w:rPr>
        <w:t xml:space="preserve"> 3, </w:t>
      </w:r>
      <w:r w:rsidR="00C1388B">
        <w:rPr>
          <w:rStyle w:val="Bodytext1"/>
        </w:rPr>
        <w:t>de la</w:t>
      </w:r>
      <w:r w:rsidR="00D22CC8">
        <w:rPr>
          <w:rStyle w:val="Bodytext1"/>
        </w:rPr>
        <w:t xml:space="preserve"> loi</w:t>
      </w:r>
      <w:r w:rsidR="00C1388B">
        <w:rPr>
          <w:rStyle w:val="Bodytext1"/>
        </w:rPr>
        <w:t xml:space="preserve"> ukrainienne sur le droit international privé qui régit les </w:t>
      </w:r>
      <w:r>
        <w:rPr>
          <w:rStyle w:val="Bodytext1"/>
        </w:rPr>
        <w:t>effets généraux du mariage. Conform</w:t>
      </w:r>
      <w:r w:rsidR="00C1388B">
        <w:rPr>
          <w:rStyle w:val="Bodytext1"/>
        </w:rPr>
        <w:t>ément à l’article 60, al.</w:t>
      </w:r>
      <w:r>
        <w:rPr>
          <w:rStyle w:val="Bodytext1"/>
        </w:rPr>
        <w:t xml:space="preserve"> </w:t>
      </w:r>
      <w:r w:rsidR="00E437EC">
        <w:rPr>
          <w:rStyle w:val="Bodytext1"/>
        </w:rPr>
        <w:t xml:space="preserve">1, de la loi, le régime des effets du mariage est à son tour régi par le statut </w:t>
      </w:r>
      <w:r>
        <w:rPr>
          <w:rStyle w:val="Bodytext1"/>
        </w:rPr>
        <w:t xml:space="preserve">personnel </w:t>
      </w:r>
      <w:r w:rsidR="00E437EC">
        <w:rPr>
          <w:rStyle w:val="Bodytext1"/>
        </w:rPr>
        <w:t xml:space="preserve">commun des époux. Le statut personnel en </w:t>
      </w:r>
      <w:r>
        <w:rPr>
          <w:rStyle w:val="Bodytext1"/>
        </w:rPr>
        <w:t>droit ukrainien</w:t>
      </w:r>
      <w:r w:rsidR="00E437EC">
        <w:rPr>
          <w:rStyle w:val="Bodytext1"/>
        </w:rPr>
        <w:t>,</w:t>
      </w:r>
      <w:r>
        <w:rPr>
          <w:rStyle w:val="Bodytext1"/>
        </w:rPr>
        <w:t xml:space="preserve"> conformément à l’article 16 la loi </w:t>
      </w:r>
      <w:r w:rsidR="00E437EC">
        <w:rPr>
          <w:rStyle w:val="Bodytext1"/>
        </w:rPr>
        <w:t xml:space="preserve">ukrainienne sur le droit international privé, est le droit de </w:t>
      </w:r>
      <w:r>
        <w:rPr>
          <w:rStyle w:val="Bodytext1"/>
        </w:rPr>
        <w:t>l’État dont</w:t>
      </w:r>
      <w:r w:rsidR="00E437EC">
        <w:rPr>
          <w:rStyle w:val="Bodytext1"/>
        </w:rPr>
        <w:t xml:space="preserve"> </w:t>
      </w:r>
      <w:r>
        <w:rPr>
          <w:rStyle w:val="Bodytext1"/>
        </w:rPr>
        <w:t>l’intéressé a la nationalité. À cet égard, le droit ukrainien ne suit donc pas le droit sov</w:t>
      </w:r>
      <w:r w:rsidR="00E437EC">
        <w:rPr>
          <w:rStyle w:val="Bodytext1"/>
        </w:rPr>
        <w:t>iétique de l’époque, qui s’est basé sur le</w:t>
      </w:r>
      <w:r>
        <w:rPr>
          <w:rStyle w:val="Bodytext1"/>
        </w:rPr>
        <w:t xml:space="preserve"> droit de résidence des époux. De la même manière que dans</w:t>
      </w:r>
      <w:r>
        <w:rPr>
          <w:rStyle w:val="Bodytext1"/>
        </w:rPr>
        <w:softHyphen/>
      </w:r>
      <w:r w:rsidR="00E437EC">
        <w:rPr>
          <w:rStyle w:val="Bodytext1"/>
        </w:rPr>
        <w:t xml:space="preserve"> le DIP autonome allemand applicable</w:t>
      </w:r>
      <w:r>
        <w:rPr>
          <w:rStyle w:val="Bodytext1"/>
        </w:rPr>
        <w:t xml:space="preserve"> jusqu’au 29 janvier 2019, le droit commun des époux </w:t>
      </w:r>
      <w:r w:rsidR="00E437EC">
        <w:rPr>
          <w:rStyle w:val="Bodytext1"/>
        </w:rPr>
        <w:t xml:space="preserve">du point de vue ukrainien est </w:t>
      </w:r>
      <w:r w:rsidR="00E437EC" w:rsidRPr="005F26D1">
        <w:rPr>
          <w:rStyle w:val="Bodytext1"/>
          <w:b/>
        </w:rPr>
        <w:t xml:space="preserve">prioritairement le droit </w:t>
      </w:r>
      <w:r w:rsidR="005F26D1" w:rsidRPr="005F26D1">
        <w:rPr>
          <w:rStyle w:val="Bodytext1"/>
          <w:b/>
        </w:rPr>
        <w:t>national commun des deux époux.</w:t>
      </w:r>
      <w:r w:rsidR="005F26D1">
        <w:rPr>
          <w:rStyle w:val="Bodytext1"/>
        </w:rPr>
        <w:t xml:space="preserve"> </w:t>
      </w:r>
      <w:r>
        <w:rPr>
          <w:rStyle w:val="Bodytext1"/>
        </w:rPr>
        <w:t>Contrairement</w:t>
      </w:r>
      <w:r w:rsidR="005F26D1">
        <w:rPr>
          <w:rStyle w:val="Bodytext1"/>
        </w:rPr>
        <w:t xml:space="preserve"> à ce qui est le cas en DIP allemand, le régime </w:t>
      </w:r>
      <w:r>
        <w:rPr>
          <w:rStyle w:val="Bodytext1"/>
        </w:rPr>
        <w:t xml:space="preserve">des biens est cependant </w:t>
      </w:r>
      <w:r w:rsidR="005F26D1" w:rsidRPr="00C55D06">
        <w:rPr>
          <w:rStyle w:val="Bodytext1"/>
          <w:b/>
        </w:rPr>
        <w:t>modifiable</w:t>
      </w:r>
      <w:r>
        <w:rPr>
          <w:rStyle w:val="Bodytext1"/>
          <w:b/>
        </w:rPr>
        <w:t xml:space="preserve"> </w:t>
      </w:r>
      <w:r>
        <w:rPr>
          <w:rStyle w:val="Bodytext1"/>
        </w:rPr>
        <w:t xml:space="preserve">en Ukraine. Un changement de nationalité des époux entraîne </w:t>
      </w:r>
      <w:r w:rsidR="005F26D1">
        <w:rPr>
          <w:rStyle w:val="Bodytext1"/>
        </w:rPr>
        <w:t xml:space="preserve">donc également un changement du régime </w:t>
      </w:r>
      <w:r>
        <w:rPr>
          <w:rStyle w:val="Bodytext1"/>
        </w:rPr>
        <w:t xml:space="preserve">des biens. Si les époux </w:t>
      </w:r>
      <w:r w:rsidR="005F26D1">
        <w:rPr>
          <w:rStyle w:val="Bodytext1"/>
        </w:rPr>
        <w:t>n’ont pas convenu</w:t>
      </w:r>
      <w:r>
        <w:rPr>
          <w:rStyle w:val="Bodytext1"/>
        </w:rPr>
        <w:softHyphen/>
      </w:r>
      <w:r w:rsidR="005F26D1">
        <w:rPr>
          <w:rStyle w:val="Bodytext1"/>
        </w:rPr>
        <w:t xml:space="preserve"> une nationalité commune et </w:t>
      </w:r>
      <w:r w:rsidR="00C55D06">
        <w:rPr>
          <w:rStyle w:val="Bodytext1"/>
        </w:rPr>
        <w:t>en l’absence de choix de</w:t>
      </w:r>
      <w:r>
        <w:rPr>
          <w:rStyle w:val="Bodytext1"/>
        </w:rPr>
        <w:t xml:space="preserve"> la loi applicable, la loi applicable est celle de l’État dans lequel ils</w:t>
      </w:r>
      <w:r w:rsidR="00C55D06">
        <w:rPr>
          <w:rStyle w:val="Bodytext1"/>
        </w:rPr>
        <w:t xml:space="preserve"> </w:t>
      </w:r>
      <w:r>
        <w:rPr>
          <w:rStyle w:val="Bodytext1"/>
        </w:rPr>
        <w:t>résident actuellement. À cet égard, un</w:t>
      </w:r>
      <w:r w:rsidR="005F26D1">
        <w:rPr>
          <w:rStyle w:val="Bodytext1"/>
        </w:rPr>
        <w:t xml:space="preserve"> </w:t>
      </w:r>
      <w:r>
        <w:rPr>
          <w:rStyle w:val="Bodytext1"/>
        </w:rPr>
        <w:t>déménagement commun au motif d’un nouveau domicile (voir, à cet égard, ci-dessous) conduirait donc déjà à un changement de la loi applicable dans un autre État. Celui-ci</w:t>
      </w:r>
      <w:r w:rsidR="005F26D1">
        <w:rPr>
          <w:rStyle w:val="Bodytext1"/>
        </w:rPr>
        <w:t xml:space="preserve"> </w:t>
      </w:r>
      <w:r>
        <w:rPr>
          <w:rStyle w:val="Bodytext1"/>
        </w:rPr>
        <w:softHyphen/>
        <w:t>pourrait alors également conduire à un renvoi considérable du point de vue allemand</w:t>
      </w:r>
      <w:r w:rsidR="005F26D1">
        <w:rPr>
          <w:rStyle w:val="Bodytext1"/>
        </w:rPr>
        <w:t>,</w:t>
      </w:r>
      <w:r>
        <w:rPr>
          <w:rStyle w:val="Bodytext1"/>
        </w:rPr>
        <w:t xml:space="preserve"> conform</w:t>
      </w:r>
      <w:r w:rsidR="005F26D1">
        <w:rPr>
          <w:rStyle w:val="Bodytext1"/>
        </w:rPr>
        <w:t xml:space="preserve">ément à l’article 4, al. </w:t>
      </w:r>
      <w:r>
        <w:rPr>
          <w:rStyle w:val="Bodytext1"/>
        </w:rPr>
        <w:t>1, deuxième phrase, EGBGB.</w:t>
      </w:r>
    </w:p>
    <w:p w:rsidR="007E4B11" w:rsidRDefault="00AE78C9">
      <w:pPr>
        <w:pStyle w:val="Bodytext10"/>
        <w:spacing w:after="240" w:line="230" w:lineRule="auto"/>
        <w:jc w:val="both"/>
      </w:pPr>
      <w:r>
        <w:rPr>
          <w:rStyle w:val="Bodytext1"/>
        </w:rPr>
        <w:t>Une traduction des</w:t>
      </w:r>
      <w:r w:rsidR="005F26D1">
        <w:rPr>
          <w:rStyle w:val="Bodytext1"/>
        </w:rPr>
        <w:t xml:space="preserve"> dispositions pertinentes du DIP</w:t>
      </w:r>
      <w:r>
        <w:rPr>
          <w:rStyle w:val="Bodytext1"/>
        </w:rPr>
        <w:t xml:space="preserve"> ukrainien a été publiée par </w:t>
      </w:r>
      <w:r>
        <w:rPr>
          <w:rStyle w:val="Bodytext1"/>
          <w:i/>
        </w:rPr>
        <w:t>Albertini</w:t>
      </w:r>
      <w:r>
        <w:rPr>
          <w:rStyle w:val="Bodytext1"/>
        </w:rPr>
        <w:t xml:space="preserve"> (StAZ 2006, 146). La référence peut être</w:t>
      </w:r>
      <w:r w:rsidR="005F26D1">
        <w:rPr>
          <w:rStyle w:val="Bodytext1"/>
        </w:rPr>
        <w:t xml:space="preserve"> consultée auprès du service de recherche de littérature du</w:t>
      </w:r>
      <w:r w:rsidR="005F26D1" w:rsidRPr="005F26D1">
        <w:rPr>
          <w:rStyle w:val="Bodytext1"/>
          <w:i/>
        </w:rPr>
        <w:t xml:space="preserve"> Deutsches Notarinstitut.</w:t>
      </w:r>
    </w:p>
    <w:p w:rsidR="007E4B11" w:rsidRPr="00C55D06" w:rsidRDefault="00AE78C9">
      <w:pPr>
        <w:pStyle w:val="Heading410"/>
        <w:keepNext/>
        <w:keepLines/>
        <w:numPr>
          <w:ilvl w:val="0"/>
          <w:numId w:val="3"/>
        </w:numPr>
        <w:tabs>
          <w:tab w:val="left" w:pos="284"/>
        </w:tabs>
        <w:jc w:val="both"/>
        <w:rPr>
          <w:rStyle w:val="Heading41"/>
          <w:b/>
          <w:color w:val="auto"/>
        </w:rPr>
      </w:pPr>
      <w:bookmarkStart w:id="6" w:name="bookmark14"/>
      <w:r w:rsidRPr="00C55D06">
        <w:rPr>
          <w:rStyle w:val="Heading41"/>
          <w:b/>
          <w:color w:val="auto"/>
        </w:rPr>
        <w:t xml:space="preserve">Quelle est la réglementation de la succession </w:t>
      </w:r>
      <w:r w:rsidR="00C55D06">
        <w:rPr>
          <w:rStyle w:val="Heading41"/>
          <w:b/>
          <w:color w:val="auto"/>
        </w:rPr>
        <w:t>pour cause de mort</w:t>
      </w:r>
      <w:r w:rsidRPr="00C55D06">
        <w:rPr>
          <w:rStyle w:val="Heading41"/>
          <w:b/>
          <w:color w:val="auto"/>
        </w:rPr>
        <w:t xml:space="preserve"> en</w:t>
      </w:r>
      <w:r w:rsidR="005F26D1" w:rsidRPr="00C55D06">
        <w:rPr>
          <w:rStyle w:val="Heading41"/>
          <w:b/>
          <w:color w:val="auto"/>
        </w:rPr>
        <w:t xml:space="preserve"> </w:t>
      </w:r>
      <w:r w:rsidRPr="00C55D06">
        <w:rPr>
          <w:rStyle w:val="Heading41"/>
          <w:b/>
          <w:color w:val="auto"/>
        </w:rPr>
        <w:softHyphen/>
        <w:t>Ukraine</w:t>
      </w:r>
      <w:r w:rsidR="00C55D06">
        <w:rPr>
          <w:rStyle w:val="Heading41"/>
          <w:b/>
          <w:color w:val="auto"/>
        </w:rPr>
        <w:t xml:space="preserve"> </w:t>
      </w:r>
      <w:r w:rsidRPr="00C55D06">
        <w:rPr>
          <w:rStyle w:val="Heading41"/>
          <w:b/>
          <w:color w:val="auto"/>
        </w:rPr>
        <w:t>?</w:t>
      </w:r>
      <w:bookmarkEnd w:id="6"/>
    </w:p>
    <w:p w:rsidR="005F26D1" w:rsidRDefault="005F26D1" w:rsidP="005F26D1">
      <w:pPr>
        <w:pStyle w:val="Heading410"/>
        <w:keepNext/>
        <w:keepLines/>
        <w:tabs>
          <w:tab w:val="left" w:pos="284"/>
        </w:tabs>
        <w:jc w:val="both"/>
      </w:pPr>
    </w:p>
    <w:p w:rsidR="007E4B11" w:rsidRDefault="005F26D1">
      <w:pPr>
        <w:pStyle w:val="Bodytext10"/>
        <w:spacing w:after="240" w:line="230" w:lineRule="auto"/>
        <w:jc w:val="both"/>
      </w:pPr>
      <w:r>
        <w:rPr>
          <w:rStyle w:val="Bodytext1"/>
        </w:rPr>
        <w:t xml:space="preserve">Sur base du code civil ukrainien du 16 janvier 2003, </w:t>
      </w:r>
      <w:r w:rsidR="00AE78C9">
        <w:rPr>
          <w:rStyle w:val="Bodytext1"/>
        </w:rPr>
        <w:t xml:space="preserve">les enfants du défunt, </w:t>
      </w:r>
      <w:r w:rsidR="00325E2A">
        <w:rPr>
          <w:rStyle w:val="Bodytext1"/>
        </w:rPr>
        <w:t>son conjoint et les parents sont les héritiers du premier degré. Ils héritent à parts égales. Au deuxième degré</w:t>
      </w:r>
      <w:r w:rsidR="00AE78C9">
        <w:rPr>
          <w:rStyle w:val="Bodytext1"/>
        </w:rPr>
        <w:t>, les frères et sœurs et les gra</w:t>
      </w:r>
      <w:r w:rsidR="00325E2A">
        <w:rPr>
          <w:rStyle w:val="Bodytext1"/>
        </w:rPr>
        <w:t xml:space="preserve">nds-parents du défunt héritent. Ceci s’applique uniquement dans le </w:t>
      </w:r>
      <w:r w:rsidR="00AE78C9">
        <w:rPr>
          <w:rStyle w:val="Bodytext1"/>
        </w:rPr>
        <w:t>cas où</w:t>
      </w:r>
      <w:r w:rsidR="00325E2A">
        <w:rPr>
          <w:rStyle w:val="Bodytext1"/>
        </w:rPr>
        <w:t xml:space="preserve"> les héritiers de premier degré </w:t>
      </w:r>
      <w:r w:rsidR="00AE78C9">
        <w:rPr>
          <w:rStyle w:val="Bodytext1"/>
        </w:rPr>
        <w:t>n’ont pas survécu. Le conjoint exclut donc en t</w:t>
      </w:r>
      <w:r w:rsidR="00325E2A">
        <w:rPr>
          <w:rStyle w:val="Bodytext1"/>
        </w:rPr>
        <w:t>ant qu’héritier de premier degré</w:t>
      </w:r>
      <w:r w:rsidR="00AE78C9">
        <w:rPr>
          <w:rStyle w:val="Bodytext1"/>
        </w:rPr>
        <w:t xml:space="preserve"> les frères et sœurs et les grands-parents de la succession légale. Le droit ukrainien</w:t>
      </w:r>
      <w:r w:rsidR="00325E2A">
        <w:rPr>
          <w:rStyle w:val="Bodytext1"/>
        </w:rPr>
        <w:t xml:space="preserve"> des successions</w:t>
      </w:r>
      <w:r w:rsidR="00AE78C9">
        <w:rPr>
          <w:rStyle w:val="Bodytext1"/>
        </w:rPr>
        <w:t xml:space="preserve"> ne fait pas</w:t>
      </w:r>
      <w:r w:rsidR="00325E2A">
        <w:rPr>
          <w:rStyle w:val="Bodytext1"/>
        </w:rPr>
        <w:t xml:space="preserve"> </w:t>
      </w:r>
      <w:r w:rsidR="00AE78C9">
        <w:rPr>
          <w:rStyle w:val="Bodytext1"/>
        </w:rPr>
        <w:softHyphen/>
        <w:t>de distinction entre les descendants</w:t>
      </w:r>
      <w:r w:rsidR="00325E2A">
        <w:rPr>
          <w:rStyle w:val="Bodytext1"/>
        </w:rPr>
        <w:t xml:space="preserve"> </w:t>
      </w:r>
      <w:r w:rsidR="00325E2A">
        <w:rPr>
          <w:rStyle w:val="Bodytext1"/>
        </w:rPr>
        <w:softHyphen/>
        <w:t>légitimes, naturels ou adoptés</w:t>
      </w:r>
      <w:r w:rsidR="00AE78C9">
        <w:rPr>
          <w:rStyle w:val="Bodytext1"/>
        </w:rPr>
        <w:t xml:space="preserve">. Le partenariat enregistré et le mariage entre personnes de même sexe ne </w:t>
      </w:r>
      <w:r w:rsidR="00325E2A">
        <w:rPr>
          <w:rStyle w:val="Bodytext1"/>
        </w:rPr>
        <w:t>sont pas connus en</w:t>
      </w:r>
      <w:r w:rsidR="00AE78C9">
        <w:rPr>
          <w:rStyle w:val="Bodytext1"/>
        </w:rPr>
        <w:t xml:space="preserve"> droit ukrainien. Par conséquent, en</w:t>
      </w:r>
      <w:r w:rsidR="00AE78C9">
        <w:rPr>
          <w:rStyle w:val="Bodytext1"/>
        </w:rPr>
        <w:softHyphen/>
      </w:r>
      <w:r w:rsidR="00325E2A">
        <w:rPr>
          <w:rStyle w:val="Bodytext1"/>
        </w:rPr>
        <w:t xml:space="preserve"> </w:t>
      </w:r>
      <w:r w:rsidR="00AE78C9">
        <w:rPr>
          <w:rStyle w:val="Bodytext1"/>
        </w:rPr>
        <w:t xml:space="preserve">vertu du droit ukrainien, de telles communautés de vie </w:t>
      </w:r>
      <w:r w:rsidR="0094413E">
        <w:rPr>
          <w:rStyle w:val="Bodytext1"/>
        </w:rPr>
        <w:t xml:space="preserve">ne créent pas de </w:t>
      </w:r>
      <w:r w:rsidR="00AE78C9">
        <w:rPr>
          <w:rStyle w:val="Bodytext1"/>
        </w:rPr>
        <w:t xml:space="preserve">droit successoral légal (sur </w:t>
      </w:r>
      <w:r w:rsidR="0094413E">
        <w:rPr>
          <w:rStyle w:val="Bodytext1"/>
        </w:rPr>
        <w:t xml:space="preserve">communauté de vie en Ukraine, Ishyna, Die nichteheliche Lebensgemeinschaft in der Ukraine und in Deutschland </w:t>
      </w:r>
      <w:r w:rsidR="00AE78C9">
        <w:rPr>
          <w:rStyle w:val="Bodytext1"/>
        </w:rPr>
        <w:t>, 2014, passim).</w:t>
      </w:r>
    </w:p>
    <w:p w:rsidR="007E4B11" w:rsidRPr="0094413E" w:rsidRDefault="00AE78C9">
      <w:pPr>
        <w:pStyle w:val="Bodytext10"/>
        <w:numPr>
          <w:ilvl w:val="0"/>
          <w:numId w:val="3"/>
        </w:numPr>
        <w:tabs>
          <w:tab w:val="left" w:pos="284"/>
        </w:tabs>
        <w:spacing w:after="0" w:line="230" w:lineRule="auto"/>
        <w:jc w:val="both"/>
        <w:rPr>
          <w:rStyle w:val="Bodytext1"/>
          <w:color w:val="auto"/>
        </w:rPr>
      </w:pPr>
      <w:r w:rsidRPr="0094413E">
        <w:rPr>
          <w:rStyle w:val="Bodytext1"/>
          <w:b/>
          <w:color w:val="auto"/>
        </w:rPr>
        <w:t>Quelles sont les exigences formelles imposées par le droit ukrainien aux testaments et quels types</w:t>
      </w:r>
      <w:r w:rsidRPr="0094413E">
        <w:rPr>
          <w:rStyle w:val="Bodytext1"/>
          <w:b/>
          <w:color w:val="auto"/>
        </w:rPr>
        <w:softHyphen/>
      </w:r>
      <w:r w:rsidR="0094413E">
        <w:rPr>
          <w:rStyle w:val="Bodytext1"/>
          <w:b/>
          <w:color w:val="auto"/>
        </w:rPr>
        <w:t xml:space="preserve"> de testaments sont admis</w:t>
      </w:r>
      <w:r w:rsidR="00C55D06">
        <w:rPr>
          <w:rStyle w:val="Bodytext1"/>
          <w:b/>
          <w:color w:val="auto"/>
        </w:rPr>
        <w:t xml:space="preserve"> </w:t>
      </w:r>
      <w:r w:rsidRPr="0094413E">
        <w:rPr>
          <w:rStyle w:val="Bodytext1"/>
          <w:b/>
          <w:color w:val="auto"/>
        </w:rPr>
        <w:t>?</w:t>
      </w:r>
    </w:p>
    <w:p w:rsidR="0094413E" w:rsidRDefault="0094413E" w:rsidP="0094413E">
      <w:pPr>
        <w:pStyle w:val="Bodytext10"/>
        <w:tabs>
          <w:tab w:val="left" w:pos="284"/>
        </w:tabs>
        <w:spacing w:after="0" w:line="230" w:lineRule="auto"/>
        <w:jc w:val="both"/>
      </w:pPr>
    </w:p>
    <w:p w:rsidR="007E4B11" w:rsidRDefault="0094413E">
      <w:pPr>
        <w:pStyle w:val="Bodytext10"/>
        <w:spacing w:line="230" w:lineRule="auto"/>
        <w:jc w:val="both"/>
      </w:pPr>
      <w:r>
        <w:rPr>
          <w:rStyle w:val="Bodytext1"/>
        </w:rPr>
        <w:t xml:space="preserve">La </w:t>
      </w:r>
      <w:r w:rsidR="00AE78C9">
        <w:rPr>
          <w:rStyle w:val="Bodytext1"/>
        </w:rPr>
        <w:t>seule forme de testament</w:t>
      </w:r>
      <w:r w:rsidR="00AE78C9">
        <w:rPr>
          <w:rStyle w:val="Bodytext1"/>
        </w:rPr>
        <w:softHyphen/>
      </w:r>
      <w:r>
        <w:rPr>
          <w:rStyle w:val="Bodytext1"/>
        </w:rPr>
        <w:t xml:space="preserve"> que connaît le droit ukrainien est </w:t>
      </w:r>
      <w:r w:rsidR="00C55D06">
        <w:rPr>
          <w:rStyle w:val="Bodytext1"/>
        </w:rPr>
        <w:t xml:space="preserve">la </w:t>
      </w:r>
      <w:r w:rsidR="00AE78C9">
        <w:rPr>
          <w:rStyle w:val="Bodytext1"/>
        </w:rPr>
        <w:t>forme publique (notar</w:t>
      </w:r>
      <w:r w:rsidR="00C55D06">
        <w:rPr>
          <w:rStyle w:val="Bodytext1"/>
        </w:rPr>
        <w:t>iale</w:t>
      </w:r>
      <w:r w:rsidR="00AE78C9">
        <w:rPr>
          <w:rStyle w:val="Bodytext1"/>
        </w:rPr>
        <w:t xml:space="preserve">). À la différence du droit allemand, le droit ukrainien ne </w:t>
      </w:r>
      <w:r>
        <w:rPr>
          <w:rStyle w:val="Bodytext1"/>
        </w:rPr>
        <w:t>prévoit pas nécessairement une authentification</w:t>
      </w:r>
      <w:r w:rsidR="00AE78C9">
        <w:rPr>
          <w:rStyle w:val="Bodytext1"/>
        </w:rPr>
        <w:t xml:space="preserve"> lors de l'</w:t>
      </w:r>
      <w:r w:rsidR="00AE78C9">
        <w:rPr>
          <w:rStyle w:val="Bodytext1"/>
        </w:rPr>
        <w:softHyphen/>
        <w:t>établissement du testament. Le testateur peut établir et signer lui-même le testament et le remettre ensuite au notaire, ouvert ou fermé. Une signature</w:t>
      </w:r>
      <w:r w:rsidR="00AE78C9">
        <w:rPr>
          <w:rStyle w:val="Bodytext1"/>
        </w:rPr>
        <w:softHyphen/>
      </w:r>
      <w:r>
        <w:rPr>
          <w:rStyle w:val="Bodytext1"/>
        </w:rPr>
        <w:t xml:space="preserve"> </w:t>
      </w:r>
      <w:r w:rsidR="00AE78C9">
        <w:rPr>
          <w:rStyle w:val="Bodytext1"/>
        </w:rPr>
        <w:t>manuscrite est requise dans les deux cas, mais pas une rédaction manuscrite du texte.</w:t>
      </w:r>
    </w:p>
    <w:p w:rsidR="007E4B11" w:rsidRDefault="00AE78C9">
      <w:pPr>
        <w:pStyle w:val="Bodytext10"/>
        <w:spacing w:line="230" w:lineRule="auto"/>
        <w:jc w:val="both"/>
      </w:pPr>
      <w:r>
        <w:rPr>
          <w:rStyle w:val="Bodytext1"/>
        </w:rPr>
        <w:t>Outre le testament unilatéral,</w:t>
      </w:r>
      <w:r w:rsidR="0094413E">
        <w:rPr>
          <w:rStyle w:val="Bodytext1"/>
        </w:rPr>
        <w:t xml:space="preserve"> le droit ukrainien admet des testaments conjonctifs</w:t>
      </w:r>
      <w:r>
        <w:rPr>
          <w:rStyle w:val="Bodytext1"/>
        </w:rPr>
        <w:t xml:space="preserve"> </w:t>
      </w:r>
      <w:r w:rsidR="0094413E">
        <w:rPr>
          <w:rStyle w:val="Bodytext1"/>
        </w:rPr>
        <w:t xml:space="preserve">des époux en ce qui concerne leurs biens communs et ce, </w:t>
      </w:r>
      <w:r>
        <w:rPr>
          <w:rStyle w:val="Bodytext1"/>
        </w:rPr>
        <w:t xml:space="preserve">conformément à l’art. 1243 </w:t>
      </w:r>
      <w:r w:rsidR="0094413E">
        <w:rPr>
          <w:rStyle w:val="Bodytext1"/>
        </w:rPr>
        <w:t xml:space="preserve">du code civil ukrainien. Ceci n’a pas d’incidence </w:t>
      </w:r>
      <w:r>
        <w:rPr>
          <w:rStyle w:val="Bodytext1"/>
        </w:rPr>
        <w:t>sur le patrimoine propre du</w:t>
      </w:r>
      <w:r w:rsidR="0094413E">
        <w:rPr>
          <w:rStyle w:val="Bodytext1"/>
        </w:rPr>
        <w:t xml:space="preserve"> testateur</w:t>
      </w:r>
      <w:r w:rsidR="00022875">
        <w:rPr>
          <w:rStyle w:val="Bodytext1"/>
        </w:rPr>
        <w:t>, conformément au régime patrimonial ukrainien de</w:t>
      </w:r>
      <w:r w:rsidR="0094413E">
        <w:rPr>
          <w:rStyle w:val="Bodytext1"/>
        </w:rPr>
        <w:t xml:space="preserve"> </w:t>
      </w:r>
      <w:r w:rsidR="00022875">
        <w:rPr>
          <w:rStyle w:val="Bodytext1"/>
        </w:rPr>
        <w:t xml:space="preserve">la communauté légale. </w:t>
      </w:r>
      <w:r>
        <w:rPr>
          <w:rStyle w:val="Bodytext1"/>
        </w:rPr>
        <w:t>Le testament ne couvre donc</w:t>
      </w:r>
      <w:r w:rsidR="00022875">
        <w:rPr>
          <w:rStyle w:val="Bodytext1"/>
        </w:rPr>
        <w:t xml:space="preserve"> </w:t>
      </w:r>
      <w:r>
        <w:rPr>
          <w:rStyle w:val="Bodytext1"/>
        </w:rPr>
        <w:softHyphen/>
        <w:t xml:space="preserve">que les biens </w:t>
      </w:r>
      <w:r w:rsidR="00022875">
        <w:rPr>
          <w:rStyle w:val="Bodytext1"/>
        </w:rPr>
        <w:t xml:space="preserve">communs des époux qui font partie de la communauté patrimoniale. </w:t>
      </w:r>
    </w:p>
    <w:p w:rsidR="007E4B11" w:rsidRDefault="00AE78C9">
      <w:pPr>
        <w:pStyle w:val="Bodytext10"/>
        <w:spacing w:line="230" w:lineRule="auto"/>
        <w:jc w:val="both"/>
      </w:pPr>
      <w:r>
        <w:rPr>
          <w:rStyle w:val="Bodytext1"/>
        </w:rPr>
        <w:t xml:space="preserve">Dans le testament, des héritiers (y compris des </w:t>
      </w:r>
      <w:r w:rsidR="00022875">
        <w:rPr>
          <w:rStyle w:val="Bodytext1"/>
        </w:rPr>
        <w:t xml:space="preserve">héritiers substitués) peuvent être désignés, </w:t>
      </w:r>
      <w:r>
        <w:rPr>
          <w:rStyle w:val="Bodytext1"/>
        </w:rPr>
        <w:t>des legs peuvent être ordonnés et un</w:t>
      </w:r>
      <w:r w:rsidR="00022875">
        <w:rPr>
          <w:rStyle w:val="Bodytext1"/>
        </w:rPr>
        <w:t xml:space="preserve"> exécuteur testamentaire peut être désigné</w:t>
      </w:r>
      <w:r>
        <w:rPr>
          <w:rStyle w:val="Bodytext1"/>
        </w:rPr>
        <w:t>. L</w:t>
      </w:r>
      <w:r w:rsidR="00022875">
        <w:rPr>
          <w:rStyle w:val="Bodytext1"/>
        </w:rPr>
        <w:t xml:space="preserve">e droit ukrainien </w:t>
      </w:r>
      <w:r w:rsidR="00022875" w:rsidRPr="00022875">
        <w:rPr>
          <w:rStyle w:val="Bodytext1"/>
          <w:b/>
        </w:rPr>
        <w:t>ne connaît pas l</w:t>
      </w:r>
      <w:r w:rsidR="00C55D06">
        <w:rPr>
          <w:rStyle w:val="Bodytext1"/>
          <w:b/>
        </w:rPr>
        <w:t>’</w:t>
      </w:r>
      <w:r>
        <w:rPr>
          <w:rStyle w:val="Bodytext1"/>
          <w:b/>
        </w:rPr>
        <w:t xml:space="preserve">héritage </w:t>
      </w:r>
      <w:r w:rsidR="00022875">
        <w:rPr>
          <w:rStyle w:val="Bodytext1"/>
          <w:b/>
        </w:rPr>
        <w:t>anticipé ni la dévolution à un héritier subséquent.</w:t>
      </w:r>
    </w:p>
    <w:p w:rsidR="007E4B11" w:rsidRDefault="00AE78C9">
      <w:pPr>
        <w:pStyle w:val="Bodytext10"/>
        <w:spacing w:line="230" w:lineRule="auto"/>
        <w:jc w:val="both"/>
      </w:pPr>
      <w:r>
        <w:rPr>
          <w:rStyle w:val="Bodytext1"/>
        </w:rPr>
        <w:t xml:space="preserve">Enfin, le droit </w:t>
      </w:r>
      <w:r w:rsidR="00BD1327">
        <w:rPr>
          <w:rStyle w:val="Bodytext1"/>
        </w:rPr>
        <w:t xml:space="preserve">successoral ukrainien connaît le </w:t>
      </w:r>
      <w:r>
        <w:rPr>
          <w:rStyle w:val="Bodytext1"/>
        </w:rPr>
        <w:t>pacte successoral par lequel un tiers, en échange de</w:t>
      </w:r>
      <w:r w:rsidR="00BD1327">
        <w:rPr>
          <w:rStyle w:val="Bodytext1"/>
        </w:rPr>
        <w:t xml:space="preserve"> </w:t>
      </w:r>
      <w:r>
        <w:rPr>
          <w:rStyle w:val="Bodytext1"/>
        </w:rPr>
        <w:softHyphen/>
        <w:t>certaines obligations, reprend le patrimoine du défunt. La conc</w:t>
      </w:r>
      <w:r w:rsidR="00BD1327">
        <w:rPr>
          <w:rStyle w:val="Bodytext1"/>
        </w:rPr>
        <w:t xml:space="preserve">lusion du pacte successoral nécessite </w:t>
      </w:r>
      <w:r w:rsidR="00BD1327" w:rsidRPr="00BD1327">
        <w:rPr>
          <w:rStyle w:val="Bodytext1"/>
          <w:b/>
        </w:rPr>
        <w:t>l’authentification notariale</w:t>
      </w:r>
      <w:r w:rsidR="00BD1327">
        <w:rPr>
          <w:rStyle w:val="Bodytext1"/>
        </w:rPr>
        <w:t xml:space="preserve"> </w:t>
      </w:r>
      <w:r>
        <w:rPr>
          <w:rStyle w:val="Bodytext1"/>
        </w:rPr>
        <w:t>(</w:t>
      </w:r>
      <w:r w:rsidR="00BD1327">
        <w:rPr>
          <w:rStyle w:val="Bodytext1"/>
        </w:rPr>
        <w:t xml:space="preserve">Süss, </w:t>
      </w:r>
      <w:r>
        <w:rPr>
          <w:rStyle w:val="Bodytext1"/>
        </w:rPr>
        <w:t xml:space="preserve">Succession, </w:t>
      </w:r>
      <w:r w:rsidR="00BD1327">
        <w:rPr>
          <w:rStyle w:val="Bodytext1"/>
        </w:rPr>
        <w:t>Erbrecht in Europa, 4</w:t>
      </w:r>
      <w:r w:rsidR="00BD1327" w:rsidRPr="00BD1327">
        <w:rPr>
          <w:rStyle w:val="Bodytext1"/>
          <w:vertAlign w:val="superscript"/>
        </w:rPr>
        <w:t>e</w:t>
      </w:r>
      <w:r w:rsidR="00BD1327">
        <w:rPr>
          <w:rStyle w:val="Bodytext1"/>
        </w:rPr>
        <w:t xml:space="preserve"> édition 2019, ,° 12</w:t>
      </w:r>
      <w:r>
        <w:rPr>
          <w:rStyle w:val="Bodytext1"/>
        </w:rPr>
        <w:t>).</w:t>
      </w:r>
    </w:p>
    <w:p w:rsidR="007E4B11" w:rsidRDefault="00AE78C9">
      <w:pPr>
        <w:pStyle w:val="Bodytext10"/>
        <w:spacing w:line="230" w:lineRule="auto"/>
        <w:jc w:val="both"/>
      </w:pPr>
      <w:r>
        <w:rPr>
          <w:rStyle w:val="Bodytext1"/>
        </w:rPr>
        <w:t>En ce qui concerne l’efficacité formelle des testaments, il suffit également d’un point de vue ukrainien</w:t>
      </w:r>
      <w:r w:rsidR="00BD1327">
        <w:rPr>
          <w:rStyle w:val="Bodytext1"/>
        </w:rPr>
        <w:t xml:space="preserve">, conformément à l’article 72 de la loi ukrainienne sur le droit international privé, que le droit du </w:t>
      </w:r>
      <w:r>
        <w:rPr>
          <w:rStyle w:val="Bodytext1"/>
        </w:rPr>
        <w:t>lieu d’établissement</w:t>
      </w:r>
      <w:r w:rsidR="00BD1327">
        <w:rPr>
          <w:rStyle w:val="Bodytext1"/>
        </w:rPr>
        <w:t xml:space="preserve"> a</w:t>
      </w:r>
      <w:r w:rsidR="00C55D06">
        <w:rPr>
          <w:rStyle w:val="Bodytext1"/>
        </w:rPr>
        <w:t>it</w:t>
      </w:r>
      <w:r w:rsidR="00BD1327">
        <w:rPr>
          <w:rStyle w:val="Bodytext1"/>
        </w:rPr>
        <w:t xml:space="preserve"> été respecté. Un testament authentifié par un notaire</w:t>
      </w:r>
      <w:r>
        <w:rPr>
          <w:rStyle w:val="Bodytext1"/>
        </w:rPr>
        <w:t xml:space="preserve"> en Allemagne, conformément aux règles du droit allemand</w:t>
      </w:r>
      <w:r>
        <w:rPr>
          <w:rStyle w:val="Bodytext1"/>
        </w:rPr>
        <w:softHyphen/>
        <w:t>, est donc toujours valable sur le plan formel du point de vue ukrainien. L</w:t>
      </w:r>
      <w:r w:rsidR="00BD1327">
        <w:rPr>
          <w:rStyle w:val="Bodytext1"/>
        </w:rPr>
        <w:t>e cas échéant, l</w:t>
      </w:r>
      <w:r>
        <w:rPr>
          <w:rStyle w:val="Bodytext1"/>
        </w:rPr>
        <w:t xml:space="preserve">a question </w:t>
      </w:r>
      <w:r w:rsidR="00BD1327">
        <w:rPr>
          <w:rStyle w:val="Bodytext1"/>
        </w:rPr>
        <w:t xml:space="preserve">pourrait se poser </w:t>
      </w:r>
      <w:r>
        <w:rPr>
          <w:rStyle w:val="Bodytext1"/>
        </w:rPr>
        <w:t>de savoir si ce renvoi au droit allemand couvre également le testament des époux établi conjointement.</w:t>
      </w:r>
    </w:p>
    <w:p w:rsidR="007E4B11" w:rsidRDefault="00AE78C9">
      <w:pPr>
        <w:pStyle w:val="Heading410"/>
        <w:keepNext/>
        <w:keepLines/>
        <w:numPr>
          <w:ilvl w:val="0"/>
          <w:numId w:val="3"/>
        </w:numPr>
        <w:tabs>
          <w:tab w:val="left" w:pos="284"/>
        </w:tabs>
        <w:jc w:val="both"/>
        <w:rPr>
          <w:rStyle w:val="Heading41"/>
          <w:b/>
        </w:rPr>
      </w:pPr>
      <w:bookmarkStart w:id="7" w:name="bookmark16"/>
      <w:r>
        <w:rPr>
          <w:rStyle w:val="Heading41"/>
          <w:b/>
        </w:rPr>
        <w:t xml:space="preserve">Qui </w:t>
      </w:r>
      <w:r w:rsidR="00BD1327">
        <w:rPr>
          <w:rStyle w:val="Heading41"/>
          <w:b/>
        </w:rPr>
        <w:t xml:space="preserve">est héritier réservataire selon le </w:t>
      </w:r>
      <w:r>
        <w:rPr>
          <w:rStyle w:val="Heading41"/>
          <w:b/>
        </w:rPr>
        <w:t>droit</w:t>
      </w:r>
      <w:r w:rsidR="00BD1327">
        <w:rPr>
          <w:rStyle w:val="Heading41"/>
          <w:b/>
        </w:rPr>
        <w:t xml:space="preserve"> </w:t>
      </w:r>
      <w:r>
        <w:rPr>
          <w:rStyle w:val="Heading41"/>
          <w:b/>
        </w:rPr>
        <w:t>ukrainien</w:t>
      </w:r>
      <w:r w:rsidR="00C55D06">
        <w:rPr>
          <w:rStyle w:val="Heading41"/>
          <w:b/>
        </w:rPr>
        <w:t xml:space="preserve"> </w:t>
      </w:r>
      <w:r>
        <w:rPr>
          <w:rStyle w:val="Heading41"/>
          <w:b/>
        </w:rPr>
        <w:t>?</w:t>
      </w:r>
      <w:bookmarkEnd w:id="7"/>
    </w:p>
    <w:p w:rsidR="00BD1327" w:rsidRDefault="00BD1327" w:rsidP="00BD1327">
      <w:pPr>
        <w:pStyle w:val="Heading410"/>
        <w:keepNext/>
        <w:keepLines/>
        <w:tabs>
          <w:tab w:val="left" w:pos="284"/>
        </w:tabs>
        <w:jc w:val="both"/>
      </w:pPr>
    </w:p>
    <w:p w:rsidR="007E4B11" w:rsidRDefault="00BD1327">
      <w:pPr>
        <w:pStyle w:val="Bodytext10"/>
        <w:spacing w:after="240" w:line="230" w:lineRule="auto"/>
        <w:jc w:val="both"/>
      </w:pPr>
      <w:r>
        <w:rPr>
          <w:rStyle w:val="Bodytext1"/>
        </w:rPr>
        <w:t xml:space="preserve">Conformément à l’article 1241 du code civil ukrainien, seuls </w:t>
      </w:r>
      <w:r w:rsidR="00AE78C9">
        <w:rPr>
          <w:rStyle w:val="Bodytext1"/>
        </w:rPr>
        <w:t>les enfants mineurs ou majeurs, ainsi que les parents et les conjoints qui sont incapables de travailler et ne peuv</w:t>
      </w:r>
      <w:r>
        <w:rPr>
          <w:rStyle w:val="Bodytext1"/>
        </w:rPr>
        <w:t>ent donc pas subvenir seuls à leurs besoins, ont droit une part réservataire</w:t>
      </w:r>
      <w:r w:rsidR="00AE78C9">
        <w:rPr>
          <w:rStyle w:val="Bodytext1"/>
        </w:rPr>
        <w:t>. Le montant de la part réservataire s’élève à la moitié de</w:t>
      </w:r>
      <w:r>
        <w:rPr>
          <w:rStyle w:val="Bodytext1"/>
        </w:rPr>
        <w:t xml:space="preserve"> </w:t>
      </w:r>
      <w:r w:rsidR="007F0AA4">
        <w:rPr>
          <w:rStyle w:val="Bodytext1"/>
        </w:rPr>
        <w:softHyphen/>
        <w:t xml:space="preserve">la part successorale légale/ ab intestat </w:t>
      </w:r>
      <w:r w:rsidR="00AE78C9">
        <w:rPr>
          <w:rStyle w:val="Bodytext1"/>
        </w:rPr>
        <w:t xml:space="preserve">(Süß, </w:t>
      </w:r>
      <w:r w:rsidR="007F0AA4">
        <w:rPr>
          <w:rStyle w:val="Bodytext1"/>
        </w:rPr>
        <w:t>Erbrecht in Europa, 4é édition 2019, Länderbericht Ukraine, n°</w:t>
      </w:r>
      <w:r w:rsidR="00AE78C9">
        <w:rPr>
          <w:rStyle w:val="Bodytext1"/>
        </w:rPr>
        <w:t xml:space="preserve"> 15). Contrairement au droit allemand, la part réservataire n’est pas conçue comme un</w:t>
      </w:r>
      <w:r w:rsidR="007F0AA4">
        <w:rPr>
          <w:rStyle w:val="Bodytext1"/>
        </w:rPr>
        <w:t>e créance</w:t>
      </w:r>
      <w:r w:rsidR="00AE78C9">
        <w:rPr>
          <w:rStyle w:val="Bodytext1"/>
        </w:rPr>
        <w:t>,</w:t>
      </w:r>
      <w:r w:rsidR="007F0AA4">
        <w:rPr>
          <w:rStyle w:val="Bodytext1"/>
        </w:rPr>
        <w:t xml:space="preserve"> mais le titulaire d’une part</w:t>
      </w:r>
      <w:r w:rsidR="00AE78C9">
        <w:rPr>
          <w:rStyle w:val="Bodytext1"/>
        </w:rPr>
        <w:t xml:space="preserve"> réservataire </w:t>
      </w:r>
      <w:r w:rsidR="007F0AA4">
        <w:rPr>
          <w:rStyle w:val="Bodytext1"/>
          <w:b/>
        </w:rPr>
        <w:t xml:space="preserve">devient directement co-héritier </w:t>
      </w:r>
      <w:r w:rsidR="00AE78C9">
        <w:rPr>
          <w:rStyle w:val="Bodytext1"/>
        </w:rPr>
        <w:t>à hauteur de son</w:t>
      </w:r>
      <w:r w:rsidR="007F0AA4">
        <w:rPr>
          <w:rStyle w:val="Bodytext1"/>
        </w:rPr>
        <w:t xml:space="preserve"> pourcentage de la succession.</w:t>
      </w:r>
    </w:p>
    <w:p w:rsidR="007E4B11" w:rsidRDefault="00AE78C9">
      <w:pPr>
        <w:pStyle w:val="Bodytext10"/>
        <w:spacing w:after="240" w:line="228" w:lineRule="auto"/>
        <w:jc w:val="both"/>
      </w:pPr>
      <w:r>
        <w:rPr>
          <w:rStyle w:val="Bodytext1"/>
        </w:rPr>
        <w:t xml:space="preserve">Le droit ukrainien ne connaît pas </w:t>
      </w:r>
      <w:r w:rsidR="007F0AA4">
        <w:rPr>
          <w:rStyle w:val="Bodytext1"/>
          <w:b/>
        </w:rPr>
        <w:t>la renonciation à la part</w:t>
      </w:r>
      <w:r w:rsidRPr="007F0AA4">
        <w:rPr>
          <w:rStyle w:val="Bodytext1"/>
          <w:b/>
        </w:rPr>
        <w:t xml:space="preserve"> réservataire</w:t>
      </w:r>
      <w:r>
        <w:rPr>
          <w:rStyle w:val="Bodytext1"/>
        </w:rPr>
        <w:t>.</w:t>
      </w:r>
    </w:p>
    <w:p w:rsidR="007E4B11" w:rsidRPr="00C55D06" w:rsidRDefault="007F0AA4">
      <w:pPr>
        <w:pStyle w:val="Heading410"/>
        <w:keepNext/>
        <w:keepLines/>
        <w:numPr>
          <w:ilvl w:val="0"/>
          <w:numId w:val="3"/>
        </w:numPr>
        <w:tabs>
          <w:tab w:val="left" w:pos="279"/>
        </w:tabs>
        <w:jc w:val="both"/>
        <w:rPr>
          <w:rStyle w:val="Heading41"/>
          <w:b/>
          <w:color w:val="auto"/>
        </w:rPr>
      </w:pPr>
      <w:bookmarkStart w:id="8" w:name="bookmark18"/>
      <w:r w:rsidRPr="00C55D06">
        <w:rPr>
          <w:rStyle w:val="Heading41"/>
          <w:b/>
          <w:color w:val="auto"/>
        </w:rPr>
        <w:t>A quoi faut-il faire attention lors de la détermination du régime successoral</w:t>
      </w:r>
      <w:r w:rsidR="00C55D06" w:rsidRPr="00C55D06">
        <w:rPr>
          <w:rStyle w:val="Heading41"/>
          <w:b/>
          <w:color w:val="auto"/>
        </w:rPr>
        <w:t xml:space="preserve"> </w:t>
      </w:r>
      <w:r w:rsidR="00AE78C9" w:rsidRPr="00C55D06">
        <w:rPr>
          <w:rStyle w:val="Heading41"/>
          <w:b/>
          <w:color w:val="auto"/>
        </w:rPr>
        <w:t>?</w:t>
      </w:r>
      <w:bookmarkEnd w:id="8"/>
    </w:p>
    <w:p w:rsidR="007F0AA4" w:rsidRPr="007F0AA4" w:rsidRDefault="007F0AA4" w:rsidP="007F0AA4">
      <w:pPr>
        <w:pStyle w:val="Heading410"/>
        <w:keepNext/>
        <w:keepLines/>
        <w:tabs>
          <w:tab w:val="left" w:pos="279"/>
        </w:tabs>
        <w:jc w:val="both"/>
        <w:rPr>
          <w:color w:val="auto"/>
        </w:rPr>
      </w:pPr>
    </w:p>
    <w:p w:rsidR="007E4B11" w:rsidRDefault="007F0AA4">
      <w:pPr>
        <w:pStyle w:val="Bodytext10"/>
        <w:spacing w:after="240" w:line="230" w:lineRule="auto"/>
        <w:jc w:val="both"/>
      </w:pPr>
      <w:r>
        <w:rPr>
          <w:rStyle w:val="Bodytext1"/>
        </w:rPr>
        <w:t>Conforméme</w:t>
      </w:r>
      <w:r w:rsidR="001606C2">
        <w:rPr>
          <w:rStyle w:val="Bodytext1"/>
        </w:rPr>
        <w:t>nt à son article 75, al. 1 du</w:t>
      </w:r>
      <w:r w:rsidR="00AE78C9">
        <w:rPr>
          <w:rStyle w:val="Bodytext1"/>
        </w:rPr>
        <w:t xml:space="preserve"> règlement européen sur les successions </w:t>
      </w:r>
      <w:r>
        <w:rPr>
          <w:rStyle w:val="Bodytext1"/>
        </w:rPr>
        <w:t xml:space="preserve">(règlement 650/2022), le règlement sur les successions n’affecte pas l’application des conventions internationales </w:t>
      </w:r>
      <w:r w:rsidR="00AE78C9">
        <w:rPr>
          <w:rStyle w:val="Bodytext1"/>
        </w:rPr>
        <w:t>que les États membres avaient déjà conclues au moment de l’adoption du règlement le 4 juillet 2012. Dans les relations entre l'</w:t>
      </w:r>
      <w:r w:rsidR="00AE78C9">
        <w:rPr>
          <w:rStyle w:val="Bodytext1"/>
        </w:rPr>
        <w:softHyphen/>
        <w:t>Allemagne et l’Ukraine, l’article 28, paragraphe 3, du</w:t>
      </w:r>
      <w:r>
        <w:rPr>
          <w:rStyle w:val="Bodytext1"/>
        </w:rPr>
        <w:t xml:space="preserve"> </w:t>
      </w:r>
      <w:r w:rsidR="00AE78C9">
        <w:rPr>
          <w:rStyle w:val="Bodytext1"/>
        </w:rPr>
        <w:softHyphen/>
        <w:t>traité consulaire entre la République fédérale d’Allemagne et l’Union des républiques socialistes soviétiques du 25.4.1958 (</w:t>
      </w:r>
      <w:r w:rsidR="00155186" w:rsidRPr="00155186">
        <w:rPr>
          <w:rStyle w:val="Bodytext1"/>
          <w:i/>
        </w:rPr>
        <w:t>Bundesgesetzblatt</w:t>
      </w:r>
      <w:r w:rsidR="00155186">
        <w:rPr>
          <w:rStyle w:val="Bodytext1"/>
        </w:rPr>
        <w:t xml:space="preserve">, </w:t>
      </w:r>
      <w:r w:rsidR="00AE78C9">
        <w:rPr>
          <w:rStyle w:val="Bodytext1"/>
        </w:rPr>
        <w:t>BGBl. II 1959, p. 233) s’applique. Certes, l’ancienne Union soviétique</w:t>
      </w:r>
      <w:r w:rsidR="00AE78C9">
        <w:rPr>
          <w:rStyle w:val="Bodytext1"/>
        </w:rPr>
        <w:softHyphen/>
        <w:t>, en tant que partie contractante du traité</w:t>
      </w:r>
      <w:r w:rsidR="00AE78C9">
        <w:rPr>
          <w:rStyle w:val="Bodytext1"/>
        </w:rPr>
        <w:softHyphen/>
      </w:r>
      <w:r>
        <w:rPr>
          <w:rStyle w:val="Bodytext1"/>
        </w:rPr>
        <w:t xml:space="preserve"> </w:t>
      </w:r>
      <w:r w:rsidR="00155186">
        <w:rPr>
          <w:rStyle w:val="Bodytext1"/>
        </w:rPr>
        <w:t>consulaire germano</w:t>
      </w:r>
      <w:r>
        <w:rPr>
          <w:rStyle w:val="Bodytext1"/>
        </w:rPr>
        <w:t>-</w:t>
      </w:r>
      <w:r w:rsidR="00AE78C9">
        <w:rPr>
          <w:rStyle w:val="Bodytext1"/>
        </w:rPr>
        <w:t xml:space="preserve">soviétique, n’existe plus depuis le 31.12.1991. Toutefois, par note du 30 juin 1993, l’Ukraine a repris les traités internationaux de l’ancienne Union soviétique </w:t>
      </w:r>
      <w:r w:rsidR="00155186">
        <w:rPr>
          <w:rStyle w:val="Bodytext1"/>
        </w:rPr>
        <w:t>(</w:t>
      </w:r>
      <w:r w:rsidR="00155186" w:rsidRPr="00155186">
        <w:rPr>
          <w:rStyle w:val="Bodytext1"/>
          <w:i/>
        </w:rPr>
        <w:t>Bundesgesetzblatt</w:t>
      </w:r>
      <w:r w:rsidR="00155186">
        <w:rPr>
          <w:rStyle w:val="Bodytext1"/>
        </w:rPr>
        <w:t xml:space="preserve">, </w:t>
      </w:r>
      <w:r w:rsidR="00AE78C9">
        <w:rPr>
          <w:rStyle w:val="Bodytext1"/>
        </w:rPr>
        <w:t>BGBl. II 1993, p. 1189).</w:t>
      </w:r>
    </w:p>
    <w:p w:rsidR="007E4B11" w:rsidRDefault="00AE78C9">
      <w:pPr>
        <w:pStyle w:val="Bodytext10"/>
        <w:spacing w:after="240" w:line="230" w:lineRule="auto"/>
        <w:jc w:val="both"/>
      </w:pPr>
      <w:r>
        <w:rPr>
          <w:rStyle w:val="Bodytext1"/>
        </w:rPr>
        <w:t>Sur le plan matériel, la convention s’applique lorsque, dans un État contractant, il y</w:t>
      </w:r>
      <w:r w:rsidR="00155186">
        <w:rPr>
          <w:rStyle w:val="Bodytext1"/>
        </w:rPr>
        <w:t xml:space="preserve"> </w:t>
      </w:r>
      <w:r>
        <w:rPr>
          <w:rStyle w:val="Bodytext1"/>
        </w:rPr>
        <w:softHyphen/>
        <w:t>a des biens immeubles appartenant à la succession d'</w:t>
      </w:r>
      <w:r>
        <w:rPr>
          <w:rStyle w:val="Bodytext1"/>
        </w:rPr>
        <w:softHyphen/>
        <w:t>un ressortissant de l’autre État contractant (Odersky, dans</w:t>
      </w:r>
      <w:r w:rsidR="00C55D06">
        <w:rPr>
          <w:rStyle w:val="Bodytext1"/>
        </w:rPr>
        <w:t xml:space="preserve"> </w:t>
      </w:r>
      <w:r>
        <w:rPr>
          <w:rStyle w:val="Bodytext1"/>
        </w:rPr>
        <w:t xml:space="preserve">: Hausmann/Odersky, </w:t>
      </w:r>
      <w:r w:rsidR="00155186">
        <w:rPr>
          <w:rStyle w:val="Bodytext1"/>
        </w:rPr>
        <w:t>Internationales Privatrecht in der Notar-und Gestaltungspraxis, 4 édition 2021, para. 15, n° 366). Par conséquent, p</w:t>
      </w:r>
      <w:r>
        <w:rPr>
          <w:rStyle w:val="Bodytext1"/>
        </w:rPr>
        <w:t xml:space="preserve">our les biens immobiliers d’un </w:t>
      </w:r>
      <w:r w:rsidR="00155186">
        <w:rPr>
          <w:rStyle w:val="Bodytext1"/>
        </w:rPr>
        <w:t xml:space="preserve">défunt ukrainien </w:t>
      </w:r>
      <w:r>
        <w:rPr>
          <w:rStyle w:val="Bodytext1"/>
        </w:rPr>
        <w:t xml:space="preserve">situés en Allemagne, </w:t>
      </w:r>
      <w:r w:rsidR="00155186">
        <w:rPr>
          <w:rStyle w:val="Bodytext1"/>
        </w:rPr>
        <w:t xml:space="preserve">le droit allemand des successions s’applique. </w:t>
      </w:r>
    </w:p>
    <w:p w:rsidR="007E4B11" w:rsidRDefault="00AE78C9">
      <w:pPr>
        <w:pStyle w:val="Bodytext10"/>
        <w:spacing w:after="240" w:line="230" w:lineRule="auto"/>
        <w:jc w:val="both"/>
      </w:pPr>
      <w:r>
        <w:rPr>
          <w:rStyle w:val="Bodytext1"/>
        </w:rPr>
        <w:t>Le reste de la succession n’est pas couvert par le contrat</w:t>
      </w:r>
      <w:r>
        <w:rPr>
          <w:rStyle w:val="Bodytext1"/>
        </w:rPr>
        <w:softHyphen/>
      </w:r>
      <w:r w:rsidR="00155186">
        <w:rPr>
          <w:rStyle w:val="Bodytext1"/>
        </w:rPr>
        <w:t xml:space="preserve"> </w:t>
      </w:r>
      <w:r>
        <w:rPr>
          <w:rStyle w:val="Bodytext1"/>
        </w:rPr>
        <w:t xml:space="preserve">consulaire germano-soviétique. D’un point de vue allemand, </w:t>
      </w:r>
      <w:r w:rsidR="00155186">
        <w:rPr>
          <w:rStyle w:val="Bodytext1"/>
        </w:rPr>
        <w:t xml:space="preserve">la succession </w:t>
      </w:r>
      <w:r>
        <w:rPr>
          <w:rStyle w:val="Bodytext1"/>
        </w:rPr>
        <w:t>est régi</w:t>
      </w:r>
      <w:r w:rsidR="00155186">
        <w:rPr>
          <w:rStyle w:val="Bodytext1"/>
        </w:rPr>
        <w:t>e par l’article 21, al.</w:t>
      </w:r>
      <w:r>
        <w:rPr>
          <w:rStyle w:val="Bodytext1"/>
        </w:rPr>
        <w:t xml:space="preserve"> 1, du règlement no 650/2012, en tenant compte, le cas échéant, d’un choix prioritaire de la loi applicable</w:t>
      </w:r>
      <w:r w:rsidR="00155186">
        <w:rPr>
          <w:rStyle w:val="Bodytext1"/>
        </w:rPr>
        <w:t>. La</w:t>
      </w:r>
      <w:r>
        <w:rPr>
          <w:rStyle w:val="Bodytext1"/>
        </w:rPr>
        <w:t xml:space="preserve"> loi</w:t>
      </w:r>
      <w:r w:rsidR="00155186">
        <w:rPr>
          <w:rStyle w:val="Bodytext1"/>
        </w:rPr>
        <w:t xml:space="preserve"> </w:t>
      </w:r>
      <w:r>
        <w:rPr>
          <w:rStyle w:val="Bodytext1"/>
        </w:rPr>
        <w:softHyphen/>
        <w:t>de l’État dans lequel le défunt avait sa résidence habituelle</w:t>
      </w:r>
      <w:r w:rsidR="00155186">
        <w:rPr>
          <w:rStyle w:val="Bodytext1"/>
        </w:rPr>
        <w:t xml:space="preserve"> </w:t>
      </w:r>
      <w:r>
        <w:rPr>
          <w:rStyle w:val="Bodytext1"/>
        </w:rPr>
        <w:softHyphen/>
        <w:t>au moment de son décès</w:t>
      </w:r>
      <w:r w:rsidR="00155186">
        <w:rPr>
          <w:rStyle w:val="Bodytext1"/>
        </w:rPr>
        <w:t xml:space="preserve"> a donc vocation à s’appliquer</w:t>
      </w:r>
      <w:r>
        <w:rPr>
          <w:rStyle w:val="Bodytext1"/>
        </w:rPr>
        <w:t>. Le règlement européen</w:t>
      </w:r>
      <w:r>
        <w:rPr>
          <w:rStyle w:val="Bodytext1"/>
        </w:rPr>
        <w:softHyphen/>
      </w:r>
      <w:r w:rsidR="00155186">
        <w:rPr>
          <w:rStyle w:val="Bodytext1"/>
        </w:rPr>
        <w:t xml:space="preserve"> </w:t>
      </w:r>
      <w:r>
        <w:rPr>
          <w:rStyle w:val="Bodytext1"/>
        </w:rPr>
        <w:t>sur les successions ne contient pas de définition de la résidence habituelle, mais les considérants 23 et 24 donnent des indications sur sa</w:t>
      </w:r>
      <w:r w:rsidR="00155186">
        <w:rPr>
          <w:rStyle w:val="Bodytext1"/>
        </w:rPr>
        <w:t xml:space="preserve"> détermination </w:t>
      </w:r>
      <w:r w:rsidR="00155186" w:rsidRPr="00155186">
        <w:rPr>
          <w:rStyle w:val="Bodytext1"/>
          <w:i/>
        </w:rPr>
        <w:t xml:space="preserve">(se reporter à l’arrêt de la Cour de Justice de l’UE dans NJW 2020, 2947, points </w:t>
      </w:r>
      <w:r w:rsidRPr="00155186">
        <w:rPr>
          <w:rStyle w:val="Bodytext1"/>
          <w:i/>
        </w:rPr>
        <w:t xml:space="preserve">37 et suivants). </w:t>
      </w:r>
      <w:r>
        <w:rPr>
          <w:rStyle w:val="Bodytext1"/>
        </w:rPr>
        <w:t>En principe</w:t>
      </w:r>
      <w:r>
        <w:rPr>
          <w:rStyle w:val="Bodytext1"/>
        </w:rPr>
        <w:softHyphen/>
        <w:t>, un examen au cas par cas est nécessaire, étant e</w:t>
      </w:r>
      <w:r w:rsidR="00155186">
        <w:rPr>
          <w:rStyle w:val="Bodytext1"/>
        </w:rPr>
        <w:t>ntendu que le «</w:t>
      </w:r>
      <w:r w:rsidR="00587354">
        <w:rPr>
          <w:rStyle w:val="Bodytext1"/>
        </w:rPr>
        <w:t xml:space="preserve"> </w:t>
      </w:r>
      <w:r w:rsidR="00155186">
        <w:rPr>
          <w:rStyle w:val="Bodytext1"/>
        </w:rPr>
        <w:t xml:space="preserve">centre des intérêts » </w:t>
      </w:r>
      <w:r>
        <w:rPr>
          <w:rStyle w:val="Bodytext1"/>
        </w:rPr>
        <w:t>du défunt «</w:t>
      </w:r>
      <w:r w:rsidR="00587354">
        <w:rPr>
          <w:rStyle w:val="Bodytext1"/>
        </w:rPr>
        <w:t xml:space="preserve"> </w:t>
      </w:r>
      <w:r>
        <w:rPr>
          <w:rStyle w:val="Bodytext1"/>
        </w:rPr>
        <w:t>d'</w:t>
      </w:r>
      <w:r>
        <w:rPr>
          <w:rStyle w:val="Bodytext1"/>
        </w:rPr>
        <w:softHyphen/>
        <w:t>un point de vue familial et social</w:t>
      </w:r>
      <w:r w:rsidR="00587354">
        <w:rPr>
          <w:rStyle w:val="Bodytext1"/>
        </w:rPr>
        <w:t xml:space="preserve"> </w:t>
      </w:r>
      <w:r>
        <w:rPr>
          <w:rStyle w:val="Bodytext1"/>
        </w:rPr>
        <w:t>» est déterminant (</w:t>
      </w:r>
      <w:r>
        <w:rPr>
          <w:rStyle w:val="Bodytext1"/>
        </w:rPr>
        <w:softHyphen/>
        <w:t>considérant 24, troisième phrase). Le considérant 23 souligne expressément qu’il y a lieu de constater «</w:t>
      </w:r>
      <w:r w:rsidR="00587354">
        <w:rPr>
          <w:rStyle w:val="Bodytext1"/>
        </w:rPr>
        <w:t xml:space="preserve"> </w:t>
      </w:r>
      <w:r>
        <w:rPr>
          <w:rStyle w:val="Bodytext1"/>
        </w:rPr>
        <w:t>un lien</w:t>
      </w:r>
      <w:r w:rsidR="00155186">
        <w:rPr>
          <w:rStyle w:val="Bodytext1"/>
        </w:rPr>
        <w:t xml:space="preserve"> de rattachement</w:t>
      </w:r>
      <w:r>
        <w:rPr>
          <w:rStyle w:val="Bodytext1"/>
        </w:rPr>
        <w:t xml:space="preserve"> réel</w:t>
      </w:r>
      <w:r w:rsidR="00587354">
        <w:rPr>
          <w:rStyle w:val="Bodytext1"/>
        </w:rPr>
        <w:t xml:space="preserve"> </w:t>
      </w:r>
      <w:r>
        <w:rPr>
          <w:rStyle w:val="Bodytext1"/>
        </w:rPr>
        <w:t>» et «</w:t>
      </w:r>
      <w:r w:rsidR="00587354">
        <w:rPr>
          <w:rStyle w:val="Bodytext1"/>
        </w:rPr>
        <w:t xml:space="preserve"> </w:t>
      </w:r>
      <w:r>
        <w:rPr>
          <w:rStyle w:val="Bodytext1"/>
        </w:rPr>
        <w:t>un lien particulièrement étroit et stable avec l’État concerné</w:t>
      </w:r>
      <w:r w:rsidR="00587354">
        <w:rPr>
          <w:rStyle w:val="Bodytext1"/>
        </w:rPr>
        <w:t xml:space="preserve"> </w:t>
      </w:r>
      <w:r>
        <w:rPr>
          <w:rStyle w:val="Bodytext1"/>
        </w:rPr>
        <w:t>». Il n’y a pas encore</w:t>
      </w:r>
      <w:r>
        <w:rPr>
          <w:rStyle w:val="Bodytext1"/>
        </w:rPr>
        <w:softHyphen/>
      </w:r>
      <w:r w:rsidR="001606C2">
        <w:rPr>
          <w:rStyle w:val="Bodytext1"/>
        </w:rPr>
        <w:t xml:space="preserve"> lieu de supposer un tel lien, </w:t>
      </w:r>
      <w:r>
        <w:rPr>
          <w:rStyle w:val="Bodytext1"/>
        </w:rPr>
        <w:t>tant que le défunt a l’intention, par exemple, de retourner en Ukraine après la fin des</w:t>
      </w:r>
      <w:r w:rsidR="001606C2">
        <w:rPr>
          <w:rStyle w:val="Bodytext1"/>
        </w:rPr>
        <w:t xml:space="preserve"> </w:t>
      </w:r>
      <w:r>
        <w:rPr>
          <w:rStyle w:val="Bodytext1"/>
        </w:rPr>
        <w:softHyphen/>
        <w:t>combats.</w:t>
      </w:r>
    </w:p>
    <w:p w:rsidR="007E4B11" w:rsidRDefault="00AE78C9">
      <w:pPr>
        <w:pStyle w:val="Bodytext10"/>
        <w:spacing w:line="230" w:lineRule="auto"/>
        <w:jc w:val="both"/>
      </w:pPr>
      <w:r>
        <w:rPr>
          <w:rStyle w:val="Bodytext1"/>
        </w:rPr>
        <w:t xml:space="preserve">Si, au moment de son décès, le défunt avait sa résidence habituelle en ce sens </w:t>
      </w:r>
      <w:r w:rsidR="00587354">
        <w:rPr>
          <w:rStyle w:val="Bodytext1"/>
        </w:rPr>
        <w:t xml:space="preserve">en </w:t>
      </w:r>
      <w:r w:rsidR="001606C2">
        <w:rPr>
          <w:rStyle w:val="Bodytext1"/>
        </w:rPr>
        <w:t>Ukrai</w:t>
      </w:r>
      <w:r w:rsidR="001606C2">
        <w:rPr>
          <w:rStyle w:val="Bodytext1"/>
        </w:rPr>
        <w:softHyphen/>
        <w:t>ne,</w:t>
      </w:r>
      <w:r w:rsidR="00BF077A">
        <w:rPr>
          <w:rStyle w:val="Bodytext1"/>
        </w:rPr>
        <w:t xml:space="preserve"> la succession des biens mobiliers</w:t>
      </w:r>
      <w:r>
        <w:rPr>
          <w:rStyle w:val="Bodytext1"/>
        </w:rPr>
        <w:t xml:space="preserve"> fait l’objet d’un r</w:t>
      </w:r>
      <w:r w:rsidR="001606C2">
        <w:rPr>
          <w:rStyle w:val="Bodytext1"/>
        </w:rPr>
        <w:t>envoi au droit ukrainien. Le DIP</w:t>
      </w:r>
      <w:r>
        <w:rPr>
          <w:rStyle w:val="Bodytext1"/>
        </w:rPr>
        <w:t xml:space="preserve"> ukrainien devrait</w:t>
      </w:r>
      <w:r w:rsidR="001606C2">
        <w:rPr>
          <w:rStyle w:val="Bodytext1"/>
        </w:rPr>
        <w:t xml:space="preserve"> </w:t>
      </w:r>
      <w:r>
        <w:rPr>
          <w:rStyle w:val="Bodytext1"/>
        </w:rPr>
        <w:softHyphen/>
        <w:t>également s’appliquer à ce renvoi, article 34</w:t>
      </w:r>
      <w:r w:rsidR="001606C2">
        <w:rPr>
          <w:rStyle w:val="Bodytext1"/>
        </w:rPr>
        <w:t xml:space="preserve">, paragraphe 1, du règlement successions </w:t>
      </w:r>
      <w:r>
        <w:rPr>
          <w:rStyle w:val="Bodytext1"/>
        </w:rPr>
        <w:t>650/2012. En particulier, il conviendrait de</w:t>
      </w:r>
      <w:r w:rsidR="001606C2">
        <w:rPr>
          <w:rStyle w:val="Bodytext1"/>
        </w:rPr>
        <w:t xml:space="preserve"> </w:t>
      </w:r>
      <w:r>
        <w:rPr>
          <w:rStyle w:val="Bodytext1"/>
        </w:rPr>
        <w:softHyphen/>
        <w:t>tenir compte d’un renvoi au droit allemand.</w:t>
      </w:r>
    </w:p>
    <w:p w:rsidR="007E4B11" w:rsidRDefault="00AE78C9">
      <w:pPr>
        <w:pStyle w:val="Bodytext10"/>
        <w:spacing w:line="230" w:lineRule="auto"/>
        <w:jc w:val="both"/>
      </w:pPr>
      <w:r>
        <w:rPr>
          <w:rStyle w:val="Bodytext1"/>
        </w:rPr>
        <w:t xml:space="preserve">Conformément aux articles 70 </w:t>
      </w:r>
      <w:r w:rsidR="001606C2">
        <w:rPr>
          <w:rStyle w:val="Bodytext1"/>
        </w:rPr>
        <w:t>et suivants de la loi ukrainienne sur le droit international privé, d</w:t>
      </w:r>
      <w:r w:rsidR="00587354">
        <w:rPr>
          <w:rStyle w:val="Bodytext1"/>
        </w:rPr>
        <w:t>’un point de vue ukrainien, le régime</w:t>
      </w:r>
      <w:r>
        <w:rPr>
          <w:rStyle w:val="Bodytext1"/>
        </w:rPr>
        <w:t xml:space="preserve"> successoral </w:t>
      </w:r>
      <w:r w:rsidR="00BF077A">
        <w:rPr>
          <w:rStyle w:val="Bodytext1"/>
        </w:rPr>
        <w:t>est divisé</w:t>
      </w:r>
      <w:r w:rsidR="00587354">
        <w:rPr>
          <w:rStyle w:val="Bodytext1"/>
        </w:rPr>
        <w:t xml:space="preserve"> </w:t>
      </w:r>
      <w:r w:rsidR="00BF077A">
        <w:rPr>
          <w:rStyle w:val="Bodytext1"/>
        </w:rPr>
        <w:t>: a</w:t>
      </w:r>
      <w:r>
        <w:rPr>
          <w:rStyle w:val="Bodytext1"/>
        </w:rPr>
        <w:t>lors que les biens mobiliers sont régis par la loi de l’État dans lequel le défunt a eu sa dernière résidence habituelle</w:t>
      </w:r>
      <w:r>
        <w:rPr>
          <w:rStyle w:val="Bodytext1"/>
        </w:rPr>
        <w:softHyphen/>
      </w:r>
      <w:r w:rsidR="00BF077A">
        <w:rPr>
          <w:rStyle w:val="Bodytext1"/>
        </w:rPr>
        <w:t xml:space="preserve"> (art. 70, première phrase de la loi ukrainienne sur le droit international privé), les biens immeubles sont régis par la loi de leur situation respective, c</w:t>
      </w:r>
      <w:r>
        <w:rPr>
          <w:rStyle w:val="Bodytext1"/>
        </w:rPr>
        <w:t>onformément</w:t>
      </w:r>
      <w:r w:rsidR="00BF077A">
        <w:rPr>
          <w:rStyle w:val="Bodytext1"/>
        </w:rPr>
        <w:t xml:space="preserve"> à l’article 71 de la loi ukrainienne sur le droit international privé)</w:t>
      </w:r>
      <w:r>
        <w:rPr>
          <w:rStyle w:val="Bodytext1"/>
        </w:rPr>
        <w:t>. Pour le</w:t>
      </w:r>
      <w:r w:rsidR="00BF077A">
        <w:rPr>
          <w:rStyle w:val="Bodytext1"/>
        </w:rPr>
        <w:t>s biens</w:t>
      </w:r>
      <w:r>
        <w:rPr>
          <w:rStyle w:val="Bodytext1"/>
        </w:rPr>
        <w:t xml:space="preserve"> mobilier</w:t>
      </w:r>
      <w:r w:rsidR="00BF077A">
        <w:rPr>
          <w:rStyle w:val="Bodytext1"/>
        </w:rPr>
        <w:t>s</w:t>
      </w:r>
      <w:r>
        <w:rPr>
          <w:rStyle w:val="Bodytext1"/>
        </w:rPr>
        <w:t>, le</w:t>
      </w:r>
      <w:r w:rsidR="00BF077A">
        <w:rPr>
          <w:rStyle w:val="Bodytext1"/>
        </w:rPr>
        <w:t xml:space="preserve"> </w:t>
      </w:r>
      <w:r>
        <w:rPr>
          <w:rStyle w:val="Bodytext1"/>
        </w:rPr>
        <w:softHyphen/>
        <w:t>défunt peut choisir la loi de son pays d’origine.</w:t>
      </w:r>
    </w:p>
    <w:p w:rsidR="007E4B11" w:rsidRPr="0058178B" w:rsidRDefault="00AE78C9">
      <w:pPr>
        <w:pStyle w:val="Heading410"/>
        <w:keepNext/>
        <w:keepLines/>
        <w:numPr>
          <w:ilvl w:val="0"/>
          <w:numId w:val="3"/>
        </w:numPr>
        <w:tabs>
          <w:tab w:val="left" w:pos="260"/>
        </w:tabs>
        <w:jc w:val="both"/>
        <w:rPr>
          <w:rStyle w:val="Heading41"/>
          <w:b/>
          <w:color w:val="auto"/>
        </w:rPr>
      </w:pPr>
      <w:bookmarkStart w:id="9" w:name="bookmark20"/>
      <w:r w:rsidRPr="0058178B">
        <w:rPr>
          <w:rStyle w:val="Heading41"/>
          <w:b/>
          <w:color w:val="auto"/>
        </w:rPr>
        <w:t>Part</w:t>
      </w:r>
      <w:r w:rsidR="00BF077A" w:rsidRPr="0058178B">
        <w:rPr>
          <w:rStyle w:val="Heading41"/>
          <w:b/>
          <w:color w:val="auto"/>
        </w:rPr>
        <w:t>icularités de la filiation</w:t>
      </w:r>
      <w:r w:rsidR="0058178B" w:rsidRPr="0058178B">
        <w:rPr>
          <w:rStyle w:val="Heading41"/>
          <w:b/>
          <w:color w:val="auto"/>
        </w:rPr>
        <w:t>/ descendance (en particulier les mères porteuses</w:t>
      </w:r>
      <w:r w:rsidRPr="0058178B">
        <w:rPr>
          <w:rStyle w:val="Heading41"/>
          <w:b/>
          <w:color w:val="auto"/>
        </w:rPr>
        <w:t>)</w:t>
      </w:r>
      <w:bookmarkEnd w:id="9"/>
    </w:p>
    <w:p w:rsidR="0058178B" w:rsidRDefault="0058178B" w:rsidP="0058178B">
      <w:pPr>
        <w:pStyle w:val="Heading410"/>
        <w:keepNext/>
        <w:keepLines/>
        <w:tabs>
          <w:tab w:val="left" w:pos="260"/>
        </w:tabs>
        <w:jc w:val="both"/>
      </w:pPr>
    </w:p>
    <w:p w:rsidR="007E4B11" w:rsidRDefault="0058178B">
      <w:pPr>
        <w:pStyle w:val="Bodytext10"/>
        <w:spacing w:line="230" w:lineRule="auto"/>
        <w:jc w:val="both"/>
      </w:pPr>
      <w:r>
        <w:rPr>
          <w:rStyle w:val="Bodytext1"/>
        </w:rPr>
        <w:t>En ce qui concerne la filiation</w:t>
      </w:r>
      <w:r w:rsidR="00AE78C9">
        <w:rPr>
          <w:rStyle w:val="Bodytext1"/>
        </w:rPr>
        <w:t>, il convient de noter que le</w:t>
      </w:r>
      <w:r>
        <w:rPr>
          <w:rStyle w:val="Bodytext1"/>
        </w:rPr>
        <w:t xml:space="preserve"> </w:t>
      </w:r>
      <w:r w:rsidR="00AE78C9">
        <w:rPr>
          <w:rStyle w:val="Bodytext1"/>
        </w:rPr>
        <w:softHyphen/>
        <w:t>droit ukrainien</w:t>
      </w:r>
      <w:r>
        <w:rPr>
          <w:rStyle w:val="Bodytext1"/>
        </w:rPr>
        <w:t xml:space="preserve"> admet les mères porteuses</w:t>
      </w:r>
      <w:r w:rsidR="00AE78C9">
        <w:rPr>
          <w:rStyle w:val="Bodytext1"/>
        </w:rPr>
        <w:t xml:space="preserve">. Par conséquent, dans le cas d’une fécondation extracorporelle, ce n’est pas la mère qui accouche et son mari qui sont parents de l’enfant, </w:t>
      </w:r>
      <w:r w:rsidR="00587354">
        <w:rPr>
          <w:rStyle w:val="Bodytext1"/>
        </w:rPr>
        <w:t xml:space="preserve">mais </w:t>
      </w:r>
      <w:r>
        <w:rPr>
          <w:rStyle w:val="Bodytext1"/>
        </w:rPr>
        <w:t xml:space="preserve">les parents désireux génétiques, conformément à l’article 123 al. 2 du code ukrainien de la famille </w:t>
      </w:r>
      <w:r w:rsidR="00AE78C9">
        <w:rPr>
          <w:rStyle w:val="Bodytext1"/>
        </w:rPr>
        <w:t>(voir à ce sujet</w:t>
      </w:r>
      <w:r>
        <w:rPr>
          <w:rStyle w:val="Bodytext1"/>
        </w:rPr>
        <w:t xml:space="preserve"> </w:t>
      </w:r>
      <w:r w:rsidR="00AE78C9">
        <w:rPr>
          <w:rStyle w:val="Bodytext1"/>
        </w:rPr>
        <w:softHyphen/>
        <w:t>en</w:t>
      </w:r>
      <w:r>
        <w:rPr>
          <w:rStyle w:val="Bodytext1"/>
        </w:rPr>
        <w:t xml:space="preserve"> détail BeckOGK/Markwardt, 1.3.2022, art. 22 </w:t>
      </w:r>
      <w:r w:rsidRPr="0058178B">
        <w:rPr>
          <w:rStyle w:val="Bodytext1"/>
          <w:i/>
        </w:rPr>
        <w:t>Einführungsgesetz zu Bürgerlichen Gesetzbuch</w:t>
      </w:r>
      <w:r>
        <w:rPr>
          <w:rStyle w:val="Bodytext1"/>
        </w:rPr>
        <w:t xml:space="preserve">, EGBGB, n° </w:t>
      </w:r>
      <w:r w:rsidR="00AE78C9">
        <w:rPr>
          <w:rStyle w:val="Bodytext1"/>
        </w:rPr>
        <w:t>33 et jurisprudence citée).</w:t>
      </w:r>
    </w:p>
    <w:p w:rsidR="007E4B11" w:rsidRPr="0058178B" w:rsidRDefault="0058178B">
      <w:pPr>
        <w:pStyle w:val="Heading410"/>
        <w:keepNext/>
        <w:keepLines/>
        <w:numPr>
          <w:ilvl w:val="0"/>
          <w:numId w:val="3"/>
        </w:numPr>
        <w:tabs>
          <w:tab w:val="left" w:pos="289"/>
        </w:tabs>
        <w:jc w:val="both"/>
        <w:rPr>
          <w:rStyle w:val="Heading41"/>
          <w:b/>
          <w:color w:val="auto"/>
        </w:rPr>
      </w:pPr>
      <w:bookmarkStart w:id="10" w:name="bookmark22"/>
      <w:r>
        <w:rPr>
          <w:rStyle w:val="Heading41"/>
          <w:b/>
          <w:color w:val="auto"/>
        </w:rPr>
        <w:t xml:space="preserve">Quel est le droit qui s’applique à </w:t>
      </w:r>
      <w:r w:rsidR="00587354">
        <w:rPr>
          <w:rStyle w:val="Heading41"/>
          <w:b/>
          <w:color w:val="auto"/>
        </w:rPr>
        <w:t xml:space="preserve">l’autorité </w:t>
      </w:r>
      <w:r w:rsidR="00AE78C9" w:rsidRPr="0058178B">
        <w:rPr>
          <w:rStyle w:val="Heading41"/>
          <w:b/>
          <w:color w:val="auto"/>
        </w:rPr>
        <w:t>parentale</w:t>
      </w:r>
      <w:r w:rsidR="00587354">
        <w:rPr>
          <w:rStyle w:val="Heading41"/>
          <w:b/>
          <w:color w:val="auto"/>
        </w:rPr>
        <w:t xml:space="preserve"> </w:t>
      </w:r>
      <w:r w:rsidR="00AE78C9" w:rsidRPr="0058178B">
        <w:rPr>
          <w:rStyle w:val="Heading41"/>
          <w:b/>
          <w:color w:val="auto"/>
        </w:rPr>
        <w:t>?</w:t>
      </w:r>
      <w:bookmarkEnd w:id="10"/>
    </w:p>
    <w:p w:rsidR="0058178B" w:rsidRDefault="0058178B" w:rsidP="0058178B">
      <w:pPr>
        <w:pStyle w:val="Heading410"/>
        <w:keepNext/>
        <w:keepLines/>
        <w:tabs>
          <w:tab w:val="left" w:pos="289"/>
        </w:tabs>
        <w:jc w:val="both"/>
      </w:pPr>
    </w:p>
    <w:p w:rsidR="007E4B11" w:rsidRDefault="00AE78C9">
      <w:pPr>
        <w:pStyle w:val="Bodytext10"/>
        <w:spacing w:line="230" w:lineRule="auto"/>
        <w:jc w:val="both"/>
      </w:pPr>
      <w:r>
        <w:rPr>
          <w:rStyle w:val="Bodytext1"/>
        </w:rPr>
        <w:t xml:space="preserve">L’article 21 de l’EGBGB </w:t>
      </w:r>
      <w:r w:rsidR="0058178B">
        <w:rPr>
          <w:rStyle w:val="Bodytext1"/>
        </w:rPr>
        <w:t>(</w:t>
      </w:r>
      <w:r w:rsidR="0058178B" w:rsidRPr="0058178B">
        <w:rPr>
          <w:rStyle w:val="Bodytext1"/>
          <w:i/>
        </w:rPr>
        <w:t>Einführungsgesetz zu Bürgerlichen Gesetzbuch</w:t>
      </w:r>
      <w:r w:rsidR="0058178B">
        <w:rPr>
          <w:rStyle w:val="Bodytext1"/>
        </w:rPr>
        <w:t xml:space="preserve"> ) </w:t>
      </w:r>
      <w:r>
        <w:rPr>
          <w:rStyle w:val="Bodytext1"/>
        </w:rPr>
        <w:t>régit le droit applicable à</w:t>
      </w:r>
      <w:r w:rsidR="0058178B">
        <w:rPr>
          <w:rStyle w:val="Bodytext1"/>
        </w:rPr>
        <w:t xml:space="preserve"> </w:t>
      </w:r>
      <w:r w:rsidR="0058178B">
        <w:rPr>
          <w:rStyle w:val="Bodytext1"/>
        </w:rPr>
        <w:softHyphen/>
        <w:t>l’autorité parentale, selon le droit autonome allemand</w:t>
      </w:r>
      <w:r>
        <w:rPr>
          <w:rStyle w:val="Bodytext1"/>
        </w:rPr>
        <w:t>. Toutefois, il convient de tenir compte de la</w:t>
      </w:r>
      <w:r w:rsidR="0058178B">
        <w:rPr>
          <w:rStyle w:val="Bodytext1"/>
        </w:rPr>
        <w:t xml:space="preserve"> </w:t>
      </w:r>
      <w:r>
        <w:rPr>
          <w:rStyle w:val="Bodytext1"/>
        </w:rPr>
        <w:softHyphen/>
        <w:t>primauté des traités d’État directs (article 3, point 2, EGBGB). La convention de</w:t>
      </w:r>
      <w:r>
        <w:rPr>
          <w:rStyle w:val="Bodytext1"/>
        </w:rPr>
        <w:softHyphen/>
      </w:r>
      <w:r w:rsidR="0058178B">
        <w:rPr>
          <w:rStyle w:val="Bodytext1"/>
        </w:rPr>
        <w:t xml:space="preserve"> </w:t>
      </w:r>
      <w:r>
        <w:rPr>
          <w:rStyle w:val="Bodytext1"/>
        </w:rPr>
        <w:t>La Haye</w:t>
      </w:r>
      <w:r w:rsidR="0058178B">
        <w:rPr>
          <w:rStyle w:val="Bodytext1"/>
        </w:rPr>
        <w:t xml:space="preserve"> sur la protection des enfants </w:t>
      </w:r>
      <w:r w:rsidR="0058178B" w:rsidRPr="0058178B">
        <w:rPr>
          <w:rStyle w:val="Bodytext1"/>
          <w:i/>
          <w:color w:val="auto"/>
          <w:szCs w:val="22"/>
        </w:rPr>
        <w:t>(Convention de la Haye du 19 octobre 1996 concernant la compétence, la loi applicable, la reconnaissance, l’exécution et la coopération en matière de responsabilité parentale et de mesures de protection des enfants)</w:t>
      </w:r>
      <w:r w:rsidRPr="0058178B">
        <w:rPr>
          <w:rStyle w:val="Bodytext1"/>
          <w:i/>
          <w:color w:val="auto"/>
          <w:szCs w:val="22"/>
        </w:rPr>
        <w:t>,</w:t>
      </w:r>
      <w:r w:rsidRPr="0058178B">
        <w:rPr>
          <w:rStyle w:val="Bodytext1"/>
          <w:color w:val="auto"/>
        </w:rPr>
        <w:t xml:space="preserve"> </w:t>
      </w:r>
      <w:r>
        <w:rPr>
          <w:rStyle w:val="Bodytext1"/>
        </w:rPr>
        <w:t>en vigueur le 1er janvier 2011, doit être respectée en priorité. La</w:t>
      </w:r>
      <w:r w:rsidR="0058178B">
        <w:rPr>
          <w:rStyle w:val="Bodytext1"/>
        </w:rPr>
        <w:t xml:space="preserve"> Convention</w:t>
      </w:r>
      <w:r>
        <w:rPr>
          <w:rStyle w:val="Bodytext1"/>
        </w:rPr>
        <w:t xml:space="preserve"> s’applique également en Ukraine depuis le 1er février 2018.</w:t>
      </w:r>
    </w:p>
    <w:p w:rsidR="007E4B11" w:rsidRDefault="00AE78C9">
      <w:pPr>
        <w:pStyle w:val="Bodytext10"/>
        <w:spacing w:line="230" w:lineRule="auto"/>
        <w:jc w:val="both"/>
      </w:pPr>
      <w:r>
        <w:rPr>
          <w:rStyle w:val="Bodytext1"/>
        </w:rPr>
        <w:t>Tant l’attribution de la responsabilité parentale en vertu de la loi sans inte</w:t>
      </w:r>
      <w:r w:rsidR="000D1540">
        <w:rPr>
          <w:rStyle w:val="Bodytext1"/>
        </w:rPr>
        <w:t>rvention d’une autorité judiciaire ou administrative (article 16, al.</w:t>
      </w:r>
      <w:r>
        <w:rPr>
          <w:rStyle w:val="Bodytext1"/>
        </w:rPr>
        <w:t xml:space="preserve"> 1, </w:t>
      </w:r>
      <w:r w:rsidR="0058178B">
        <w:rPr>
          <w:rStyle w:val="Bodytext1"/>
        </w:rPr>
        <w:t>de ladite convention</w:t>
      </w:r>
      <w:r>
        <w:rPr>
          <w:rStyle w:val="Bodytext1"/>
        </w:rPr>
        <w:t xml:space="preserve">) que </w:t>
      </w:r>
      <w:r w:rsidR="007B4CCD">
        <w:rPr>
          <w:rStyle w:val="Bodytext1"/>
        </w:rPr>
        <w:t xml:space="preserve">l’attribution </w:t>
      </w:r>
      <w:r>
        <w:rPr>
          <w:rStyle w:val="Bodytext1"/>
        </w:rPr>
        <w:t>par accord ou</w:t>
      </w:r>
      <w:r>
        <w:rPr>
          <w:rStyle w:val="Bodytext1"/>
        </w:rPr>
        <w:softHyphen/>
      </w:r>
      <w:r w:rsidR="0058178B">
        <w:rPr>
          <w:rStyle w:val="Bodytext1"/>
        </w:rPr>
        <w:t xml:space="preserve"> </w:t>
      </w:r>
      <w:r w:rsidR="000D1540">
        <w:rPr>
          <w:rStyle w:val="Bodytext1"/>
        </w:rPr>
        <w:t>acte unilatéral (article 16, al.</w:t>
      </w:r>
      <w:r>
        <w:rPr>
          <w:rStyle w:val="Bodytext1"/>
        </w:rPr>
        <w:t xml:space="preserve"> 2, de la</w:t>
      </w:r>
      <w:r w:rsidR="0058178B">
        <w:rPr>
          <w:rStyle w:val="Bodytext1"/>
        </w:rPr>
        <w:t>dite convention</w:t>
      </w:r>
      <w:r>
        <w:rPr>
          <w:rStyle w:val="Bodytext1"/>
        </w:rPr>
        <w:t xml:space="preserve">), comme par exemple </w:t>
      </w:r>
      <w:r w:rsidR="000D1540">
        <w:rPr>
          <w:rStyle w:val="Bodytext1"/>
          <w:b/>
        </w:rPr>
        <w:t xml:space="preserve">une déclaration de droit de garde ou un mandat de </w:t>
      </w:r>
      <w:r w:rsidR="00B30584">
        <w:rPr>
          <w:rStyle w:val="Bodytext1"/>
          <w:b/>
        </w:rPr>
        <w:t>garde</w:t>
      </w:r>
      <w:r>
        <w:rPr>
          <w:rStyle w:val="Bodytext1"/>
          <w:b/>
        </w:rPr>
        <w:t>,</w:t>
      </w:r>
      <w:r w:rsidR="000D1540">
        <w:rPr>
          <w:rStyle w:val="Bodytext1"/>
          <w:b/>
        </w:rPr>
        <w:t xml:space="preserve"> </w:t>
      </w:r>
      <w:r>
        <w:rPr>
          <w:rStyle w:val="Bodytext1"/>
          <w:b/>
        </w:rPr>
        <w:softHyphen/>
        <w:t>sont soumises au droit de</w:t>
      </w:r>
      <w:r w:rsidR="0058178B">
        <w:rPr>
          <w:rStyle w:val="Bodytext1"/>
          <w:b/>
        </w:rPr>
        <w:t xml:space="preserve"> </w:t>
      </w:r>
      <w:r w:rsidR="000D1540">
        <w:rPr>
          <w:rStyle w:val="Bodytext1"/>
          <w:b/>
        </w:rPr>
        <w:t xml:space="preserve">la </w:t>
      </w:r>
      <w:r>
        <w:rPr>
          <w:rStyle w:val="Bodytext1"/>
          <w:b/>
        </w:rPr>
        <w:t xml:space="preserve">résidence habituelle de l’enfant </w:t>
      </w:r>
      <w:r>
        <w:rPr>
          <w:rStyle w:val="Bodytext1"/>
        </w:rPr>
        <w:t>au</w:t>
      </w:r>
      <w:r w:rsidR="000D1540">
        <w:rPr>
          <w:rStyle w:val="Bodytext1"/>
        </w:rPr>
        <w:t xml:space="preserve"> </w:t>
      </w:r>
      <w:r w:rsidR="000D1540">
        <w:rPr>
          <w:rStyle w:val="Bodytext1"/>
        </w:rPr>
        <w:softHyphen/>
        <w:t>moment où l’accord</w:t>
      </w:r>
      <w:r>
        <w:rPr>
          <w:rStyle w:val="Bodytext1"/>
        </w:rPr>
        <w:t xml:space="preserve"> prend effet (arti</w:t>
      </w:r>
      <w:r w:rsidR="000D1540">
        <w:rPr>
          <w:rStyle w:val="Bodytext1"/>
        </w:rPr>
        <w:t>cle 16, al. 2 de ladite convention</w:t>
      </w:r>
      <w:r>
        <w:rPr>
          <w:rStyle w:val="Bodytext1"/>
        </w:rPr>
        <w:t>). Lorsque l’octroi du droit de garde résulte d’une décision de l’autorité publique (telle que la tutelle</w:t>
      </w:r>
      <w:r>
        <w:rPr>
          <w:rStyle w:val="Bodytext1"/>
        </w:rPr>
        <w:softHyphen/>
      </w:r>
      <w:r w:rsidR="00B30584">
        <w:rPr>
          <w:rStyle w:val="Bodytext1"/>
        </w:rPr>
        <w:t xml:space="preserve"> </w:t>
      </w:r>
      <w:r>
        <w:rPr>
          <w:rStyle w:val="Bodytext1"/>
        </w:rPr>
        <w:t>ordonnée</w:t>
      </w:r>
      <w:r w:rsidR="00B30584">
        <w:rPr>
          <w:rStyle w:val="Bodytext1"/>
        </w:rPr>
        <w:t xml:space="preserve"> dans un testament</w:t>
      </w:r>
      <w:r>
        <w:rPr>
          <w:rStyle w:val="Bodytext1"/>
        </w:rPr>
        <w:t>), les autorités compétente</w:t>
      </w:r>
      <w:r w:rsidR="00B30584">
        <w:rPr>
          <w:rStyle w:val="Bodytext1"/>
        </w:rPr>
        <w:t xml:space="preserve">s en vertu de l’article 5 de la convention </w:t>
      </w:r>
      <w:r>
        <w:rPr>
          <w:rStyle w:val="Bodytext1"/>
        </w:rPr>
        <w:t xml:space="preserve">de l’État contractant dans lequel l’enfant a sa </w:t>
      </w:r>
      <w:r>
        <w:rPr>
          <w:rStyle w:val="Bodytext1"/>
          <w:b/>
        </w:rPr>
        <w:t xml:space="preserve">résidence habituelle </w:t>
      </w:r>
      <w:r>
        <w:rPr>
          <w:rStyle w:val="Bodytext1"/>
        </w:rPr>
        <w:t>a</w:t>
      </w:r>
      <w:r w:rsidR="00B30584">
        <w:rPr>
          <w:rStyle w:val="Bodytext1"/>
        </w:rPr>
        <w:t>ppliquent, dans l’exercice de leur</w:t>
      </w:r>
      <w:r>
        <w:rPr>
          <w:rStyle w:val="Bodytext1"/>
        </w:rPr>
        <w:t xml:space="preserve"> compétence</w:t>
      </w:r>
      <w:r w:rsidR="00B30584">
        <w:rPr>
          <w:rStyle w:val="Bodytext1"/>
        </w:rPr>
        <w:t xml:space="preserve"> qui leur est attribuée, leur propre droit</w:t>
      </w:r>
      <w:r>
        <w:rPr>
          <w:rStyle w:val="Bodytext1"/>
        </w:rPr>
        <w:t xml:space="preserve"> (voir arti</w:t>
      </w:r>
      <w:r w:rsidR="00B30584">
        <w:rPr>
          <w:rStyle w:val="Bodytext1"/>
        </w:rPr>
        <w:t>cle 15, al. 1, de ladite convention</w:t>
      </w:r>
      <w:r>
        <w:rPr>
          <w:rStyle w:val="Bodytext1"/>
        </w:rPr>
        <w:t>).</w:t>
      </w:r>
    </w:p>
    <w:p w:rsidR="007E4B11" w:rsidRDefault="00AE78C9">
      <w:pPr>
        <w:pStyle w:val="Bodytext10"/>
        <w:spacing w:line="230" w:lineRule="auto"/>
        <w:jc w:val="both"/>
      </w:pPr>
      <w:r>
        <w:rPr>
          <w:rStyle w:val="Bodytext1"/>
        </w:rPr>
        <w:t>Lorsqu’un enfant vient en Allemagne avec ses parents ou un</w:t>
      </w:r>
      <w:r w:rsidR="00B30584">
        <w:rPr>
          <w:rStyle w:val="Bodytext1"/>
        </w:rPr>
        <w:t xml:space="preserve"> </w:t>
      </w:r>
      <w:r>
        <w:rPr>
          <w:rStyle w:val="Bodytext1"/>
        </w:rPr>
        <w:softHyphen/>
        <w:t>parent en tant que réfugié, la question se pose de savoir s’il y a lieu de fonder une résidence</w:t>
      </w:r>
      <w:r>
        <w:rPr>
          <w:rStyle w:val="Bodytext1"/>
        </w:rPr>
        <w:softHyphen/>
      </w:r>
      <w:r w:rsidR="00B30584">
        <w:rPr>
          <w:rStyle w:val="Bodytext1"/>
        </w:rPr>
        <w:t xml:space="preserve"> </w:t>
      </w:r>
      <w:r>
        <w:rPr>
          <w:rStyle w:val="Bodytext1"/>
        </w:rPr>
        <w:t>habituelle. Compte ten</w:t>
      </w:r>
      <w:r w:rsidR="00B30584">
        <w:rPr>
          <w:rStyle w:val="Bodytext1"/>
        </w:rPr>
        <w:t xml:space="preserve">u de la jurisprudence de la CJUE (FamRZ 2015, 107), le </w:t>
      </w:r>
      <w:r>
        <w:rPr>
          <w:rStyle w:val="Bodytext1"/>
        </w:rPr>
        <w:t xml:space="preserve">séjour habituel est généralement compris comme </w:t>
      </w:r>
      <w:r w:rsidR="00B30584">
        <w:rPr>
          <w:rStyle w:val="Bodytext1"/>
        </w:rPr>
        <w:t xml:space="preserve">étant </w:t>
      </w:r>
      <w:r>
        <w:rPr>
          <w:rStyle w:val="Bodytext1"/>
        </w:rPr>
        <w:t xml:space="preserve">le </w:t>
      </w:r>
      <w:r>
        <w:rPr>
          <w:rStyle w:val="Bodytext1"/>
          <w:b/>
        </w:rPr>
        <w:t>centre des</w:t>
      </w:r>
      <w:r w:rsidR="00B30584">
        <w:rPr>
          <w:rStyle w:val="Bodytext1"/>
          <w:b/>
        </w:rPr>
        <w:t xml:space="preserve"> </w:t>
      </w:r>
      <w:r>
        <w:rPr>
          <w:rStyle w:val="Bodytext1"/>
          <w:b/>
        </w:rPr>
        <w:softHyphen/>
        <w:t xml:space="preserve">intérêts de la vie </w:t>
      </w:r>
      <w:r>
        <w:rPr>
          <w:rStyle w:val="Bodytext1"/>
        </w:rPr>
        <w:t>et est déterminé par des caractéristiques sociales, familiales et professionnelles. Il convient également de</w:t>
      </w:r>
      <w:r w:rsidR="00B30584">
        <w:rPr>
          <w:rStyle w:val="Bodytext1"/>
        </w:rPr>
        <w:t xml:space="preserve"> </w:t>
      </w:r>
      <w:r>
        <w:rPr>
          <w:rStyle w:val="Bodytext1"/>
        </w:rPr>
        <w:softHyphen/>
        <w:t>tenir compte de la régularité, des circonstances et de la durée du séjour, des raisons du transfert de</w:t>
      </w:r>
      <w:r w:rsidR="00B30584">
        <w:rPr>
          <w:rStyle w:val="Bodytext1"/>
        </w:rPr>
        <w:t xml:space="preserve"> </w:t>
      </w:r>
      <w:r>
        <w:rPr>
          <w:rStyle w:val="Bodytext1"/>
        </w:rPr>
        <w:softHyphen/>
        <w:t>la famille dans cet État, de la nationalité, du lieu et des conditions de scolarisation de l’enfant ainsi que de ses connaissances linguistique</w:t>
      </w:r>
      <w:r w:rsidR="00B30584">
        <w:rPr>
          <w:rStyle w:val="Bodytext1"/>
        </w:rPr>
        <w:t xml:space="preserve">s (BeckOGK-BGB/Markwardt, 1.3.2022, article 5 de la </w:t>
      </w:r>
      <w:r w:rsidR="00B30584" w:rsidRPr="00B30584">
        <w:rPr>
          <w:rStyle w:val="Bodytext1"/>
          <w:color w:val="auto"/>
          <w:szCs w:val="22"/>
        </w:rPr>
        <w:t>Convention de la Haye du 19 octobre 1996 concernant la compétence, la loi applicable, la reconnaissance, l’exécution et la coopération en matière de responsabilité parentale et de mesures de protection des enfants, n°</w:t>
      </w:r>
      <w:r w:rsidR="00B30584" w:rsidRPr="00B30584">
        <w:rPr>
          <w:rStyle w:val="Bodytext1"/>
        </w:rPr>
        <w:t xml:space="preserve"> </w:t>
      </w:r>
      <w:r w:rsidRPr="00B30584">
        <w:rPr>
          <w:rStyle w:val="Bodytext1"/>
        </w:rPr>
        <w:t>8).</w:t>
      </w:r>
      <w:r w:rsidR="00B30584">
        <w:rPr>
          <w:rStyle w:val="Bodytext1"/>
        </w:rPr>
        <w:t xml:space="preserve"> La résidence habituelle</w:t>
      </w:r>
      <w:r>
        <w:rPr>
          <w:rStyle w:val="Bodytext1"/>
        </w:rPr>
        <w:t xml:space="preserve"> doit être régulièrement conçu</w:t>
      </w:r>
      <w:r w:rsidR="00B30584">
        <w:rPr>
          <w:rStyle w:val="Bodytext1"/>
        </w:rPr>
        <w:t>e</w:t>
      </w:r>
      <w:r>
        <w:rPr>
          <w:rStyle w:val="Bodytext1"/>
        </w:rPr>
        <w:t xml:space="preserve"> pour</w:t>
      </w:r>
      <w:r w:rsidR="00B30584">
        <w:rPr>
          <w:rStyle w:val="Bodytext1"/>
        </w:rPr>
        <w:t xml:space="preserve"> une certaine durée. Les exigences </w:t>
      </w:r>
      <w:r>
        <w:rPr>
          <w:rStyle w:val="Bodytext1"/>
        </w:rPr>
        <w:t xml:space="preserve">ne sont pas aussi élevées que dans le droit </w:t>
      </w:r>
      <w:r w:rsidR="00B30584">
        <w:rPr>
          <w:rStyle w:val="Bodytext1"/>
        </w:rPr>
        <w:t>successoral. Un court séjour</w:t>
      </w:r>
      <w:r>
        <w:rPr>
          <w:rStyle w:val="Bodytext1"/>
        </w:rPr>
        <w:t xml:space="preserve"> temporaire dans un État n’y constitue pas encore une résidence habituelle (voir BGH NJW 2019, 1605, point 19). Des critères subjectifs, en</w:t>
      </w:r>
      <w:r w:rsidR="00B30584">
        <w:rPr>
          <w:rStyle w:val="Bodytext1"/>
        </w:rPr>
        <w:t xml:space="preserve"> </w:t>
      </w:r>
      <w:r>
        <w:rPr>
          <w:rStyle w:val="Bodytext1"/>
        </w:rPr>
        <w:softHyphen/>
        <w:t>particulier la volonté d’établir un séjour permanent dans un lieu déterminé, peuvent</w:t>
      </w:r>
      <w:r>
        <w:rPr>
          <w:rStyle w:val="Bodytext1"/>
        </w:rPr>
        <w:softHyphen/>
      </w:r>
      <w:r w:rsidR="00B30584">
        <w:rPr>
          <w:rStyle w:val="Bodytext1"/>
        </w:rPr>
        <w:t xml:space="preserve"> </w:t>
      </w:r>
      <w:r>
        <w:rPr>
          <w:rStyle w:val="Bodytext1"/>
        </w:rPr>
        <w:t>être pertinents. Étant donné que la volonté ne présuppose pas une certaine</w:t>
      </w:r>
      <w:r>
        <w:rPr>
          <w:rStyle w:val="Bodytext1"/>
        </w:rPr>
        <w:softHyphen/>
      </w:r>
      <w:r w:rsidR="00B30584">
        <w:rPr>
          <w:rStyle w:val="Bodytext1"/>
        </w:rPr>
        <w:t xml:space="preserve"> </w:t>
      </w:r>
      <w:r>
        <w:rPr>
          <w:rStyle w:val="Bodytext1"/>
        </w:rPr>
        <w:t>durée effective de séjour, la simple intention d’un séjour non temporaire</w:t>
      </w:r>
      <w:r w:rsidR="00B30584">
        <w:rPr>
          <w:rStyle w:val="Bodytext1"/>
        </w:rPr>
        <w:t xml:space="preserve"> </w:t>
      </w:r>
      <w:r>
        <w:rPr>
          <w:rStyle w:val="Bodytext1"/>
        </w:rPr>
        <w:softHyphen/>
        <w:t>peut suffir</w:t>
      </w:r>
      <w:r w:rsidR="00F35414">
        <w:rPr>
          <w:rStyle w:val="Bodytext1"/>
        </w:rPr>
        <w:t>e</w:t>
      </w:r>
      <w:r>
        <w:rPr>
          <w:rStyle w:val="Bodytext1"/>
        </w:rPr>
        <w:t xml:space="preserve"> (BeckOK-BGB/Lorenz, heure: 1.2.2022, art. 5 EGBGB, point 17).</w:t>
      </w:r>
    </w:p>
    <w:p w:rsidR="007E4B11" w:rsidRDefault="00AE78C9">
      <w:pPr>
        <w:pStyle w:val="Bodytext10"/>
        <w:spacing w:line="230" w:lineRule="auto"/>
        <w:jc w:val="both"/>
      </w:pPr>
      <w:r>
        <w:rPr>
          <w:rStyle w:val="Bodytext1"/>
        </w:rPr>
        <w:t>Dans le cas des réfugiés, une résidence de courte durée peut également constituer une résidence habituelle si seule une résidence permanente en Allemagne est envisagée (en détail sur la question du séjour</w:t>
      </w:r>
      <w:r w:rsidR="00B30584">
        <w:rPr>
          <w:rStyle w:val="Bodytext1"/>
        </w:rPr>
        <w:t xml:space="preserve"> </w:t>
      </w:r>
      <w:r w:rsidR="00B30584">
        <w:rPr>
          <w:rStyle w:val="Bodytext1"/>
        </w:rPr>
        <w:softHyphen/>
        <w:t>habituel des</w:t>
      </w:r>
      <w:r>
        <w:rPr>
          <w:rStyle w:val="Bodytext1"/>
        </w:rPr>
        <w:t xml:space="preserve"> réfugiés Baetge</w:t>
      </w:r>
      <w:r w:rsidR="00B30584">
        <w:rPr>
          <w:rStyle w:val="Bodytext1"/>
        </w:rPr>
        <w:t>,</w:t>
      </w:r>
      <w:r>
        <w:rPr>
          <w:rStyle w:val="Bodytext1"/>
        </w:rPr>
        <w:t xml:space="preserve"> StAZ 2016, </w:t>
      </w:r>
      <w:r w:rsidR="00B30584">
        <w:rPr>
          <w:rStyle w:val="Bodytext1"/>
        </w:rPr>
        <w:t xml:space="preserve">n° </w:t>
      </w:r>
      <w:r>
        <w:rPr>
          <w:rStyle w:val="Bodytext1"/>
        </w:rPr>
        <w:t>289, 292 et suiv</w:t>
      </w:r>
      <w:r w:rsidR="00B30584">
        <w:rPr>
          <w:rStyle w:val="Bodytext1"/>
        </w:rPr>
        <w:t>ants</w:t>
      </w:r>
      <w:r>
        <w:rPr>
          <w:rStyle w:val="Bodytext1"/>
        </w:rPr>
        <w:t>.). En revanche, si l’intéressé souhaite retourner dans son</w:t>
      </w:r>
      <w:r w:rsidR="00B30584">
        <w:rPr>
          <w:rStyle w:val="Bodytext1"/>
        </w:rPr>
        <w:t xml:space="preserve"> </w:t>
      </w:r>
      <w:r>
        <w:rPr>
          <w:rStyle w:val="Bodytext1"/>
        </w:rPr>
        <w:softHyphen/>
        <w:t>pays d’origine, il ne sera possible d’admettre une résiden</w:t>
      </w:r>
      <w:r w:rsidR="00B30584">
        <w:rPr>
          <w:rStyle w:val="Bodytext1"/>
        </w:rPr>
        <w:t>ce habituelle au sens de ladite convention</w:t>
      </w:r>
      <w:r>
        <w:rPr>
          <w:rStyle w:val="Bodytext1"/>
        </w:rPr>
        <w:t xml:space="preserve"> que lorsque la résidence sur le territoire national a effectivement duré plus longtemps. En définitive</w:t>
      </w:r>
      <w:r>
        <w:rPr>
          <w:rStyle w:val="Bodytext1"/>
        </w:rPr>
        <w:softHyphen/>
        <w:t xml:space="preserve">, il s’agit d’une </w:t>
      </w:r>
      <w:r>
        <w:rPr>
          <w:rStyle w:val="Bodytext1"/>
          <w:b/>
        </w:rPr>
        <w:t xml:space="preserve">question de fait qui </w:t>
      </w:r>
      <w:r>
        <w:rPr>
          <w:rStyle w:val="Bodytext1"/>
        </w:rPr>
        <w:t>doit être examinée</w:t>
      </w:r>
      <w:r>
        <w:rPr>
          <w:rStyle w:val="Bodytext1"/>
        </w:rPr>
        <w:softHyphen/>
      </w:r>
      <w:r w:rsidR="00CF572D">
        <w:rPr>
          <w:rStyle w:val="Bodytext1"/>
        </w:rPr>
        <w:t xml:space="preserve"> </w:t>
      </w:r>
      <w:r>
        <w:rPr>
          <w:rStyle w:val="Bodytext1"/>
        </w:rPr>
        <w:t>séparément dans chaque cas particulier.</w:t>
      </w:r>
    </w:p>
    <w:p w:rsidR="007E4B11" w:rsidRPr="00CF572D" w:rsidRDefault="00CF572D">
      <w:pPr>
        <w:pStyle w:val="Heading410"/>
        <w:keepNext/>
        <w:keepLines/>
        <w:numPr>
          <w:ilvl w:val="0"/>
          <w:numId w:val="3"/>
        </w:numPr>
        <w:tabs>
          <w:tab w:val="left" w:pos="270"/>
        </w:tabs>
        <w:jc w:val="both"/>
        <w:rPr>
          <w:rStyle w:val="Heading41"/>
          <w:b/>
          <w:color w:val="auto"/>
        </w:rPr>
      </w:pPr>
      <w:bookmarkStart w:id="11" w:name="bookmark24"/>
      <w:r>
        <w:rPr>
          <w:rStyle w:val="Heading41"/>
          <w:b/>
          <w:color w:val="auto"/>
        </w:rPr>
        <w:t>A quelles exigences de forme doivent répondre les procurations pour</w:t>
      </w:r>
      <w:r w:rsidR="00B30584" w:rsidRPr="00CF572D">
        <w:rPr>
          <w:rStyle w:val="Heading41"/>
          <w:b/>
          <w:color w:val="auto"/>
        </w:rPr>
        <w:t xml:space="preserve"> </w:t>
      </w:r>
      <w:bookmarkEnd w:id="11"/>
      <w:r>
        <w:rPr>
          <w:rStyle w:val="Heading41"/>
          <w:b/>
          <w:color w:val="auto"/>
        </w:rPr>
        <w:t>une utilisation en Ukraine ?</w:t>
      </w:r>
    </w:p>
    <w:p w:rsidR="00B30584" w:rsidRDefault="00B30584" w:rsidP="00B30584">
      <w:pPr>
        <w:pStyle w:val="Heading410"/>
        <w:keepNext/>
        <w:keepLines/>
        <w:tabs>
          <w:tab w:val="left" w:pos="270"/>
        </w:tabs>
        <w:jc w:val="both"/>
      </w:pPr>
    </w:p>
    <w:p w:rsidR="00CF572D" w:rsidRDefault="00CF572D">
      <w:pPr>
        <w:pStyle w:val="Bodytext10"/>
        <w:spacing w:line="230" w:lineRule="auto"/>
        <w:jc w:val="both"/>
        <w:rPr>
          <w:rStyle w:val="Bodytext1"/>
        </w:rPr>
      </w:pPr>
      <w:r>
        <w:rPr>
          <w:rStyle w:val="Bodytext1"/>
        </w:rPr>
        <w:t>En vertu du droit ukrainien, la procuration es</w:t>
      </w:r>
      <w:r w:rsidR="00F35414">
        <w:rPr>
          <w:rStyle w:val="Bodytext1"/>
        </w:rPr>
        <w:t>t soumise</w:t>
      </w:r>
      <w:r>
        <w:rPr>
          <w:rStyle w:val="Bodytext1"/>
        </w:rPr>
        <w:t xml:space="preserve"> aux mêmes règles de forme que celles nécessaires à la conclusion de l’acte juridique sous-jacent</w:t>
      </w:r>
      <w:r w:rsidR="00F35414">
        <w:rPr>
          <w:rStyle w:val="Bodytext1"/>
        </w:rPr>
        <w:t xml:space="preserve"> </w:t>
      </w:r>
      <w:r>
        <w:rPr>
          <w:rStyle w:val="Bodytext1"/>
        </w:rPr>
        <w:t xml:space="preserve">/ pour lequel elle est établie (art. 245, al. 1 du code civil ukrainien). </w:t>
      </w:r>
    </w:p>
    <w:p w:rsidR="007E4B11" w:rsidRDefault="00AE78C9">
      <w:pPr>
        <w:pStyle w:val="Bodytext10"/>
        <w:spacing w:line="230" w:lineRule="auto"/>
        <w:jc w:val="both"/>
      </w:pPr>
      <w:r>
        <w:rPr>
          <w:rStyle w:val="Bodytext1"/>
        </w:rPr>
        <w:t>Il est donc nécessaire d'</w:t>
      </w:r>
      <w:r>
        <w:rPr>
          <w:rStyle w:val="Bodytext1"/>
        </w:rPr>
        <w:softHyphen/>
        <w:t>évaluer, pour chaque cas d’espèce, quelle forme est</w:t>
      </w:r>
      <w:r>
        <w:rPr>
          <w:rStyle w:val="Bodytext1"/>
        </w:rPr>
        <w:softHyphen/>
      </w:r>
      <w:r w:rsidR="00CF572D">
        <w:rPr>
          <w:rStyle w:val="Bodytext1"/>
        </w:rPr>
        <w:t xml:space="preserve"> exigée</w:t>
      </w:r>
      <w:r>
        <w:rPr>
          <w:rStyle w:val="Bodytext1"/>
        </w:rPr>
        <w:t>. Étant donné que les contrats de vente de biens immobiliers doivent</w:t>
      </w:r>
      <w:r w:rsidR="00CF572D">
        <w:rPr>
          <w:rStyle w:val="Bodytext1"/>
        </w:rPr>
        <w:t xml:space="preserve"> faire l’objet d’une authentification notariale</w:t>
      </w:r>
      <w:r>
        <w:rPr>
          <w:rStyle w:val="Bodytext1"/>
        </w:rPr>
        <w:t xml:space="preserve"> (</w:t>
      </w:r>
      <w:r w:rsidR="00CF572D">
        <w:rPr>
          <w:rStyle w:val="Bodytext1"/>
        </w:rPr>
        <w:t xml:space="preserve">conformément à l’article 657 du code civil ukrainien), </w:t>
      </w:r>
      <w:r>
        <w:rPr>
          <w:rStyle w:val="Bodytext1"/>
        </w:rPr>
        <w:t>la procur</w:t>
      </w:r>
      <w:r w:rsidR="00CF572D">
        <w:rPr>
          <w:rStyle w:val="Bodytext1"/>
        </w:rPr>
        <w:t>ation délivrée à cet effet doit également être authentifiée</w:t>
      </w:r>
      <w:r>
        <w:rPr>
          <w:rStyle w:val="Bodytext1"/>
        </w:rPr>
        <w:t xml:space="preserve"> (</w:t>
      </w:r>
      <w:r w:rsidR="00CF572D">
        <w:rPr>
          <w:rStyle w:val="Bodytext1"/>
        </w:rPr>
        <w:t>une certification notariale n’étant pas suffisante</w:t>
      </w:r>
      <w:r>
        <w:rPr>
          <w:rStyle w:val="Bodytext1"/>
        </w:rPr>
        <w:t>). Les mandats géné</w:t>
      </w:r>
      <w:r w:rsidR="00CF572D">
        <w:rPr>
          <w:rStyle w:val="Bodytext1"/>
        </w:rPr>
        <w:t xml:space="preserve">raux doivent faire l’objet d’une authentification notariale, </w:t>
      </w:r>
      <w:r>
        <w:rPr>
          <w:rStyle w:val="Bodytext1"/>
        </w:rPr>
        <w:t>s’ils visent également à couvrir les actes juridiques qui, à leur tour, doivent</w:t>
      </w:r>
      <w:r w:rsidR="00CF572D">
        <w:rPr>
          <w:rStyle w:val="Bodytext1"/>
        </w:rPr>
        <w:t xml:space="preserve"> faire l’objet d’une authentification par le notaire</w:t>
      </w:r>
      <w:r>
        <w:rPr>
          <w:rStyle w:val="Bodytext1"/>
        </w:rPr>
        <w:t>. En cas d’incertitude</w:t>
      </w:r>
      <w:r w:rsidR="00CF572D">
        <w:rPr>
          <w:rStyle w:val="Bodytext1"/>
        </w:rPr>
        <w:t xml:space="preserve"> quant à la forme requise par le droit ukrainien, la procuration devrait être authentifiée </w:t>
      </w:r>
      <w:r>
        <w:rPr>
          <w:rStyle w:val="Bodytext1"/>
        </w:rPr>
        <w:softHyphen/>
        <w:t>à titre de précaution.</w:t>
      </w:r>
    </w:p>
    <w:p w:rsidR="007E4B11" w:rsidRPr="00CF572D" w:rsidRDefault="00AE78C9">
      <w:pPr>
        <w:pStyle w:val="Heading410"/>
        <w:keepNext/>
        <w:keepLines/>
        <w:numPr>
          <w:ilvl w:val="0"/>
          <w:numId w:val="3"/>
        </w:numPr>
        <w:tabs>
          <w:tab w:val="left" w:pos="378"/>
        </w:tabs>
        <w:jc w:val="both"/>
        <w:rPr>
          <w:rStyle w:val="Heading41"/>
          <w:b/>
          <w:color w:val="auto"/>
        </w:rPr>
      </w:pPr>
      <w:bookmarkStart w:id="12" w:name="bookmark26"/>
      <w:r w:rsidRPr="00CF572D">
        <w:rPr>
          <w:rStyle w:val="Heading41"/>
          <w:b/>
          <w:color w:val="auto"/>
        </w:rPr>
        <w:t>Nécessité de légalisation ou d’apostille</w:t>
      </w:r>
      <w:bookmarkEnd w:id="12"/>
    </w:p>
    <w:p w:rsidR="00CF572D" w:rsidRDefault="00CF572D" w:rsidP="00CF572D">
      <w:pPr>
        <w:pStyle w:val="Heading410"/>
        <w:keepNext/>
        <w:keepLines/>
        <w:tabs>
          <w:tab w:val="left" w:pos="378"/>
        </w:tabs>
        <w:jc w:val="both"/>
      </w:pPr>
    </w:p>
    <w:p w:rsidR="007E4B11" w:rsidRDefault="00B85415">
      <w:pPr>
        <w:pStyle w:val="Bodytext10"/>
        <w:spacing w:after="280" w:line="230" w:lineRule="auto"/>
        <w:jc w:val="both"/>
        <w:rPr>
          <w:rStyle w:val="Bodytext1"/>
          <w:b/>
        </w:rPr>
      </w:pPr>
      <w:r>
        <w:rPr>
          <w:rStyle w:val="Bodytext1"/>
        </w:rPr>
        <w:t>La République f</w:t>
      </w:r>
      <w:r w:rsidR="00AE78C9">
        <w:rPr>
          <w:rStyle w:val="Bodytext1"/>
        </w:rPr>
        <w:t>édérale d’Allemagne avait d’abord fait opposition à</w:t>
      </w:r>
      <w:r w:rsidR="00CF572D">
        <w:rPr>
          <w:rStyle w:val="Bodytext1"/>
        </w:rPr>
        <w:t xml:space="preserve"> </w:t>
      </w:r>
      <w:r w:rsidR="00CF572D">
        <w:rPr>
          <w:rStyle w:val="Bodytext1"/>
        </w:rPr>
        <w:softHyphen/>
        <w:t>l’adhésion de l’Uk</w:t>
      </w:r>
      <w:r w:rsidR="00AE78C9">
        <w:rPr>
          <w:rStyle w:val="Bodytext1"/>
        </w:rPr>
        <w:t xml:space="preserve">raine à la convention de La Haye </w:t>
      </w:r>
      <w:r w:rsidR="00CF572D">
        <w:rPr>
          <w:rStyle w:val="Bodytext1"/>
        </w:rPr>
        <w:t>supprimant l’exigence de la légalisation des actes publi</w:t>
      </w:r>
      <w:r w:rsidR="00F35414">
        <w:rPr>
          <w:rStyle w:val="Bodytext1"/>
        </w:rPr>
        <w:t>c</w:t>
      </w:r>
      <w:r w:rsidR="00CF572D">
        <w:rPr>
          <w:rStyle w:val="Bodytext1"/>
        </w:rPr>
        <w:t xml:space="preserve">s </w:t>
      </w:r>
      <w:r w:rsidR="00AE78C9">
        <w:rPr>
          <w:rStyle w:val="Bodytext1"/>
        </w:rPr>
        <w:t>du 5.10.1961, le 2 avril 2003. Le 22 juillet 2010, la République fédérale</w:t>
      </w:r>
      <w:r w:rsidR="00AE78C9">
        <w:rPr>
          <w:rStyle w:val="Bodytext1"/>
        </w:rPr>
        <w:softHyphen/>
      </w:r>
      <w:r>
        <w:rPr>
          <w:rStyle w:val="Bodytext1"/>
        </w:rPr>
        <w:t xml:space="preserve"> </w:t>
      </w:r>
      <w:r w:rsidR="00AE78C9">
        <w:rPr>
          <w:rStyle w:val="Bodytext1"/>
        </w:rPr>
        <w:t xml:space="preserve">d’Allemagne a renoncé </w:t>
      </w:r>
      <w:r>
        <w:rPr>
          <w:rStyle w:val="Bodytext1"/>
        </w:rPr>
        <w:t xml:space="preserve">à </w:t>
      </w:r>
      <w:r w:rsidR="00AE78C9">
        <w:rPr>
          <w:rStyle w:val="Bodytext1"/>
        </w:rPr>
        <w:t>l’opposition conformément à l’article 12, paragraphe 2, de la convention de</w:t>
      </w:r>
      <w:r>
        <w:rPr>
          <w:rStyle w:val="Bodytext1"/>
        </w:rPr>
        <w:t xml:space="preserve"> </w:t>
      </w:r>
      <w:r>
        <w:rPr>
          <w:rStyle w:val="Bodytext1"/>
        </w:rPr>
        <w:softHyphen/>
        <w:t>La</w:t>
      </w:r>
      <w:r w:rsidR="00AE78C9">
        <w:rPr>
          <w:rStyle w:val="Bodytext1"/>
        </w:rPr>
        <w:t xml:space="preserve"> Haye. Par conséquent,</w:t>
      </w:r>
      <w:r>
        <w:rPr>
          <w:rStyle w:val="Bodytext1"/>
        </w:rPr>
        <w:t xml:space="preserve"> </w:t>
      </w:r>
      <w:r w:rsidR="00AE78C9">
        <w:rPr>
          <w:rStyle w:val="Bodytext1"/>
        </w:rPr>
        <w:softHyphen/>
        <w:t>la convention de La Haye est entrée en vi</w:t>
      </w:r>
      <w:r>
        <w:rPr>
          <w:rStyle w:val="Bodytext1"/>
        </w:rPr>
        <w:t xml:space="preserve">gueur le 22 juillet 2010 dans les relations entre </w:t>
      </w:r>
      <w:r w:rsidR="00AE78C9">
        <w:rPr>
          <w:rStyle w:val="Bodytext1"/>
        </w:rPr>
        <w:t xml:space="preserve">la République fédérale </w:t>
      </w:r>
      <w:r>
        <w:rPr>
          <w:rStyle w:val="Bodytext1"/>
        </w:rPr>
        <w:t>d’Allemagne relative et</w:t>
      </w:r>
      <w:r w:rsidR="00AE78C9">
        <w:rPr>
          <w:rStyle w:val="Bodytext1"/>
        </w:rPr>
        <w:t xml:space="preserve"> l’Ukraine (voir</w:t>
      </w:r>
      <w:r>
        <w:rPr>
          <w:rStyle w:val="Bodytext1"/>
        </w:rPr>
        <w:t xml:space="preserve"> </w:t>
      </w:r>
      <w:r w:rsidR="00AE78C9">
        <w:rPr>
          <w:rStyle w:val="Bodytext1"/>
        </w:rPr>
        <w:softHyphen/>
        <w:t xml:space="preserve">la communication du ministère des Affaires étrangères du 27 septembre 2010, </w:t>
      </w:r>
      <w:r w:rsidRPr="00B85415">
        <w:rPr>
          <w:rStyle w:val="Bodytext1"/>
          <w:i/>
        </w:rPr>
        <w:t>Bundesgesetzblatt</w:t>
      </w:r>
      <w:r>
        <w:rPr>
          <w:rStyle w:val="Bodytext1"/>
        </w:rPr>
        <w:t xml:space="preserve"> </w:t>
      </w:r>
      <w:r w:rsidR="00AE78C9">
        <w:rPr>
          <w:rStyle w:val="Bodytext1"/>
        </w:rPr>
        <w:t xml:space="preserve">BGBl. II 2010, p. 1195). </w:t>
      </w:r>
      <w:r w:rsidR="00AE78C9">
        <w:rPr>
          <w:rStyle w:val="Bodytext1"/>
          <w:b/>
        </w:rPr>
        <w:t xml:space="preserve">Pour les documents en provenance d’Ukraine délivrés après le 22.7.2010, l’apposition d’une apostille suffit dès lors </w:t>
      </w:r>
      <w:r>
        <w:rPr>
          <w:rStyle w:val="Bodytext1"/>
          <w:b/>
        </w:rPr>
        <w:t xml:space="preserve">pour leur utilisation en Allemagne. </w:t>
      </w:r>
    </w:p>
    <w:p w:rsidR="00B85415" w:rsidRDefault="00B85415">
      <w:pPr>
        <w:pStyle w:val="Bodytext10"/>
        <w:spacing w:after="280" w:line="230" w:lineRule="auto"/>
        <w:jc w:val="both"/>
      </w:pPr>
      <w:r>
        <w:rPr>
          <w:rStyle w:val="Bodytext1"/>
          <w:b/>
        </w:rPr>
        <w:t>(…)</w:t>
      </w:r>
    </w:p>
    <w:p w:rsidR="00446ADC" w:rsidRDefault="00446ADC"/>
    <w:sectPr w:rsidR="00446ADC">
      <w:type w:val="continuous"/>
      <w:pgSz w:w="11900" w:h="16840"/>
      <w:pgMar w:top="6615" w:right="1530" w:bottom="1231" w:left="1520" w:header="0" w:footer="3" w:gutter="0"/>
      <w:cols w:num="2" w:space="263"/>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39C" w:rsidRDefault="004C539C">
      <w:r>
        <w:separator/>
      </w:r>
    </w:p>
  </w:endnote>
  <w:endnote w:type="continuationSeparator" w:id="0">
    <w:p w:rsidR="004C539C" w:rsidRDefault="004C5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186" w:rsidRDefault="00155186">
    <w:pPr>
      <w:spacing w:line="1" w:lineRule="exact"/>
    </w:pPr>
    <w:r>
      <w:rPr>
        <w:noProof/>
        <w:lang w:val="en-US"/>
      </w:rPr>
      <mc:AlternateContent>
        <mc:Choice Requires="wps">
          <w:drawing>
            <wp:anchor distT="0" distB="0" distL="0" distR="0" simplePos="0" relativeHeight="62914692" behindDoc="1" locked="0" layoutInCell="1" allowOverlap="1">
              <wp:simplePos x="0" y="0"/>
              <wp:positionH relativeFrom="page">
                <wp:posOffset>930910</wp:posOffset>
              </wp:positionH>
              <wp:positionV relativeFrom="page">
                <wp:posOffset>10037445</wp:posOffset>
              </wp:positionV>
              <wp:extent cx="1121410" cy="88265"/>
              <wp:effectExtent l="0" t="0" r="0" b="0"/>
              <wp:wrapNone/>
              <wp:docPr id="5" name="Forme 5"/>
              <wp:cNvGraphicFramePr/>
              <a:graphic xmlns:a="http://schemas.openxmlformats.org/drawingml/2006/main">
                <a:graphicData uri="http://schemas.microsoft.com/office/word/2010/wordprocessingShape">
                  <wps:wsp>
                    <wps:cNvSpPr txBox="1"/>
                    <wps:spPr>
                      <a:xfrm>
                        <a:off x="0" y="0"/>
                        <a:ext cx="1121410" cy="88265"/>
                      </a:xfrm>
                      <a:prstGeom prst="rect">
                        <a:avLst/>
                      </a:prstGeom>
                      <a:noFill/>
                    </wps:spPr>
                    <wps:txbx>
                      <w:txbxContent>
                        <w:p w:rsidR="00155186" w:rsidRDefault="00155186">
                          <w:pPr>
                            <w:pStyle w:val="Headerorfooter20"/>
                            <w:rPr>
                              <w:sz w:val="18"/>
                            </w:rPr>
                          </w:pPr>
                          <w:r>
                            <w:fldChar w:fldCharType="begin"/>
                          </w:r>
                          <w:r>
                            <w:instrText xml:space="preserve"> PAGE \* MERGEFORMAT </w:instrText>
                          </w:r>
                          <w:r>
                            <w:fldChar w:fldCharType="separate"/>
                          </w:r>
                          <w:r w:rsidR="003C3769" w:rsidRPr="003C3769">
                            <w:rPr>
                              <w:rStyle w:val="Headerorfooter2"/>
                              <w:noProof/>
                              <w:color w:val="002559"/>
                              <w:sz w:val="18"/>
                              <w:szCs w:val="18"/>
                            </w:rPr>
                            <w:t>58</w:t>
                          </w:r>
                          <w:r>
                            <w:rPr>
                              <w:rStyle w:val="Headerorfooter2"/>
                              <w:color w:val="002559"/>
                              <w:sz w:val="18"/>
                              <w:szCs w:val="18"/>
                            </w:rPr>
                            <w:fldChar w:fldCharType="end"/>
                          </w:r>
                          <w:r>
                            <w:rPr>
                              <w:rStyle w:val="Headerorfooter2"/>
                              <w:color w:val="002559"/>
                              <w:sz w:val="18"/>
                            </w:rPr>
                            <w:t xml:space="preserve"> </w:t>
                          </w:r>
                          <w:r>
                            <w:rPr>
                              <w:rStyle w:val="Headerorfooter2"/>
                              <w:b/>
                              <w:color w:val="002559"/>
                              <w:sz w:val="18"/>
                            </w:rPr>
                            <w:t xml:space="preserve">Rapport de DNotI </w:t>
                          </w:r>
                          <w:r>
                            <w:rPr>
                              <w:rStyle w:val="Headerorfooter2"/>
                              <w:color w:val="002559"/>
                              <w:sz w:val="18"/>
                            </w:rPr>
                            <w:t>8/2022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Forme 5" o:spid="_x0000_s1026" type="#_x0000_t202" style="position:absolute;margin-left:73.3pt;margin-top:790.35pt;width:88.3pt;height:6.9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" filled="f" stroked="f">
              <v:textbox style="mso-fit-shape-to-text:t" inset="0,0,0,0">
                <w:txbxContent>
                  <w:p w:rsidR="00155186" w:rsidRDefault="00155186">
                    <w:pPr>
                      <w:pStyle w:val="Headerorfooter20"/>
                      <w:rPr>
                        <w:sz w:val="18"/>
                      </w:rPr>
                    </w:pPr>
                    <w:r>
                      <w:fldChar w:fldCharType="begin"/>
                    </w:r>
                    <w:r>
                      <w:instrText xml:space="preserve"> PAGE \* MERGEFORMAT </w:instrText>
                    </w:r>
                    <w:r>
                      <w:fldChar w:fldCharType="separate"/>
                    </w:r>
                    <w:r w:rsidR="003C3769" w:rsidRPr="003C3769">
                      <w:rPr>
                        <w:rStyle w:val="Headerorfooter2"/>
                        <w:noProof/>
                        <w:color w:val="002559"/>
                        <w:sz w:val="18"/>
                        <w:szCs w:val="18"/>
                      </w:rPr>
                      <w:t>58</w:t>
                    </w:r>
                    <w:r>
                      <w:rPr>
                        <w:rStyle w:val="Headerorfooter2"/>
                        <w:color w:val="002559"/>
                        <w:sz w:val="18"/>
                        <w:szCs w:val="18"/>
                      </w:rPr>
                      <w:fldChar w:fldCharType="end"/>
                    </w:r>
                    <w:r>
                      <w:rPr>
                        <w:rStyle w:val="Headerorfooter2"/>
                        <w:color w:val="002559"/>
                        <w:sz w:val="18"/>
                      </w:rPr>
                      <w:t xml:space="preserve"> </w:t>
                    </w:r>
                    <w:r>
                      <w:rPr>
                        <w:rStyle w:val="Headerorfooter2"/>
                        <w:b/>
                        <w:color w:val="002559"/>
                        <w:sz w:val="18"/>
                      </w:rPr>
                      <w:t xml:space="preserve">Rapport de DNotI </w:t>
                    </w:r>
                    <w:r>
                      <w:rPr>
                        <w:rStyle w:val="Headerorfooter2"/>
                        <w:color w:val="002559"/>
                        <w:sz w:val="18"/>
                      </w:rPr>
                      <w:t>8/2022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5186" w:rsidRDefault="00155186">
    <w:pPr>
      <w:spacing w:line="1" w:lineRule="exact"/>
    </w:pPr>
    <w:r>
      <w:rPr>
        <w:noProof/>
        <w:lang w:val="en-US"/>
      </w:rPr>
      <mc:AlternateContent>
        <mc:Choice Requires="wps">
          <w:drawing>
            <wp:anchor distT="0" distB="0" distL="0" distR="0" simplePos="0" relativeHeight="62914690" behindDoc="1" locked="0" layoutInCell="1" allowOverlap="1">
              <wp:simplePos x="0" y="0"/>
              <wp:positionH relativeFrom="page">
                <wp:posOffset>5546090</wp:posOffset>
              </wp:positionH>
              <wp:positionV relativeFrom="page">
                <wp:posOffset>10037445</wp:posOffset>
              </wp:positionV>
              <wp:extent cx="1118870" cy="88265"/>
              <wp:effectExtent l="0" t="0" r="0" b="0"/>
              <wp:wrapNone/>
              <wp:docPr id="3" name="Forme 3"/>
              <wp:cNvGraphicFramePr/>
              <a:graphic xmlns:a="http://schemas.openxmlformats.org/drawingml/2006/main">
                <a:graphicData uri="http://schemas.microsoft.com/office/word/2010/wordprocessingShape">
                  <wps:wsp>
                    <wps:cNvSpPr txBox="1"/>
                    <wps:spPr>
                      <a:xfrm>
                        <a:off x="0" y="0"/>
                        <a:ext cx="1118870" cy="88265"/>
                      </a:xfrm>
                      <a:prstGeom prst="rect">
                        <a:avLst/>
                      </a:prstGeom>
                      <a:noFill/>
                    </wps:spPr>
                    <wps:txbx>
                      <w:txbxContent>
                        <w:p w:rsidR="00155186" w:rsidRDefault="00155186">
                          <w:pPr>
                            <w:pStyle w:val="Headerorfooter20"/>
                            <w:rPr>
                              <w:sz w:val="18"/>
                            </w:rPr>
                          </w:pPr>
                          <w:r>
                            <w:rPr>
                              <w:rStyle w:val="Headerorfooter2"/>
                              <w:b/>
                              <w:color w:val="002559"/>
                              <w:sz w:val="18"/>
                            </w:rPr>
                            <w:t xml:space="preserve">Rapport de DNotI </w:t>
                          </w:r>
                          <w:r>
                            <w:rPr>
                              <w:rStyle w:val="Headerorfooter2"/>
                              <w:color w:val="002559"/>
                              <w:sz w:val="18"/>
                            </w:rPr>
                            <w:t xml:space="preserve">8/2022 </w:t>
                          </w:r>
                          <w:r>
                            <w:fldChar w:fldCharType="begin"/>
                          </w:r>
                          <w:r>
                            <w:instrText xml:space="preserve"> PAGE \* MERGEFORMAT </w:instrText>
                          </w:r>
                          <w:r>
                            <w:fldChar w:fldCharType="separate"/>
                          </w:r>
                          <w:r w:rsidR="003C3769" w:rsidRPr="003C3769">
                            <w:rPr>
                              <w:rStyle w:val="Headerorfooter2"/>
                              <w:noProof/>
                              <w:color w:val="002559"/>
                              <w:sz w:val="18"/>
                              <w:szCs w:val="18"/>
                            </w:rPr>
                            <w:t>57</w:t>
                          </w:r>
                          <w:r>
                            <w:rPr>
                              <w:rStyle w:val="Headerorfooter2"/>
                              <w:color w:val="002559"/>
                              <w:sz w:val="18"/>
                              <w:szCs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Forme 3" o:spid="_x0000_s1027" type="#_x0000_t202" style="position:absolute;margin-left:436.7pt;margin-top:790.35pt;width:88.1pt;height:6.9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" filled="f" stroked="f">
              <v:textbox style="mso-fit-shape-to-text:t" inset="0,0,0,0">
                <w:txbxContent>
                  <w:p w:rsidR="00155186" w:rsidRDefault="00155186">
                    <w:pPr>
                      <w:pStyle w:val="Headerorfooter20"/>
                      <w:rPr>
                        <w:sz w:val="18"/>
                      </w:rPr>
                    </w:pPr>
                    <w:r>
                      <w:rPr>
                        <w:rStyle w:val="Headerorfooter2"/>
                        <w:b/>
                        <w:color w:val="002559"/>
                        <w:sz w:val="18"/>
                      </w:rPr>
                      <w:t xml:space="preserve">Rapport de DNotI </w:t>
                    </w:r>
                    <w:r>
                      <w:rPr>
                        <w:rStyle w:val="Headerorfooter2"/>
                        <w:color w:val="002559"/>
                        <w:sz w:val="18"/>
                      </w:rPr>
                      <w:t xml:space="preserve">8/2022 </w:t>
                    </w:r>
                    <w:r>
                      <w:fldChar w:fldCharType="begin"/>
                    </w:r>
                    <w:r>
                      <w:instrText xml:space="preserve"> PAGE \* MERGEFORMAT </w:instrText>
                    </w:r>
                    <w:r>
                      <w:fldChar w:fldCharType="separate"/>
                    </w:r>
                    <w:r w:rsidR="003C3769" w:rsidRPr="003C3769">
                      <w:rPr>
                        <w:rStyle w:val="Headerorfooter2"/>
                        <w:noProof/>
                        <w:color w:val="002559"/>
                        <w:sz w:val="18"/>
                        <w:szCs w:val="18"/>
                      </w:rPr>
                      <w:t>57</w:t>
                    </w:r>
                    <w:r>
                      <w:rPr>
                        <w:rStyle w:val="Headerorfooter2"/>
                        <w:color w:val="002559"/>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39C" w:rsidRDefault="004C539C"/>
  </w:footnote>
  <w:footnote w:type="continuationSeparator" w:id="0">
    <w:p w:rsidR="004C539C" w:rsidRDefault="004C539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25EB1"/>
    <w:multiLevelType w:val="multilevel"/>
    <w:tmpl w:val="B204E100"/>
    <w:lvl w:ilvl="0">
      <w:start w:val="1"/>
      <w:numFmt w:val="decimal"/>
      <w:lvlText w:val="(%1)"/>
      <w:lvlJc w:val="left"/>
      <w:rPr>
        <w:rFonts w:ascii="Times New Roman" w:eastAsia="Times New Roman" w:hAnsi="Times New Roman" w:cs="Times New Roman"/>
        <w:b w:val="0"/>
        <w:bCs w:val="0"/>
        <w:i/>
        <w:iCs/>
        <w:smallCaps w:val="0"/>
        <w:strike w:val="0"/>
        <w:color w:val="231F20"/>
        <w:spacing w:val="0"/>
        <w:w w:val="100"/>
        <w:position w:val="0"/>
        <w:sz w:val="22"/>
        <w:szCs w:val="22"/>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EC745F"/>
    <w:multiLevelType w:val="hybridMultilevel"/>
    <w:tmpl w:val="7D76B53A"/>
    <w:lvl w:ilvl="0" w:tplc="6D3298E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A934EA"/>
    <w:multiLevelType w:val="multilevel"/>
    <w:tmpl w:val="4F68C10C"/>
    <w:lvl w:ilvl="0">
      <w:start w:val="2"/>
      <w:numFmt w:val="decimal"/>
      <w:lvlText w:val="(%1)"/>
      <w:lvlJc w:val="left"/>
      <w:rPr>
        <w:rFonts w:ascii="Times New Roman" w:eastAsia="Times New Roman" w:hAnsi="Times New Roman" w:cs="Times New Roman"/>
        <w:b w:val="0"/>
        <w:bCs w:val="0"/>
        <w:i/>
        <w:iCs/>
        <w:smallCaps w:val="0"/>
        <w:strike w:val="0"/>
        <w:color w:val="231F20"/>
        <w:spacing w:val="0"/>
        <w:w w:val="100"/>
        <w:position w:val="0"/>
        <w:sz w:val="22"/>
        <w:szCs w:val="22"/>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6613B84"/>
    <w:multiLevelType w:val="multilevel"/>
    <w:tmpl w:val="D0C49E3C"/>
    <w:lvl w:ilvl="0">
      <w:start w:val="2"/>
      <w:numFmt w:val="decimal"/>
      <w:lvlText w:val="%1."/>
      <w:lvlJc w:val="left"/>
      <w:rPr>
        <w:rFonts w:ascii="Times New Roman" w:eastAsia="Times New Roman" w:hAnsi="Times New Roman" w:cs="Times New Roman"/>
        <w:b/>
        <w:bCs/>
        <w:i w:val="0"/>
        <w:iCs w:val="0"/>
        <w:smallCaps w:val="0"/>
        <w:strike w:val="0"/>
        <w:color w:val="005AAA"/>
        <w:spacing w:val="0"/>
        <w:w w:val="100"/>
        <w:position w:val="0"/>
        <w:sz w:val="22"/>
        <w:szCs w:val="22"/>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00E1332"/>
    <w:multiLevelType w:val="multilevel"/>
    <w:tmpl w:val="4B4864C6"/>
    <w:lvl w:ilvl="0">
      <w:start w:val="1"/>
      <w:numFmt w:val="lowerLetter"/>
      <w:lvlText w:val="%1)"/>
      <w:lvlJc w:val="left"/>
      <w:rPr>
        <w:rFonts w:ascii="Times New Roman" w:eastAsia="Times New Roman" w:hAnsi="Times New Roman" w:cs="Times New Roman"/>
        <w:b/>
        <w:bCs/>
        <w:i w:val="0"/>
        <w:iCs w:val="0"/>
        <w:smallCaps w:val="0"/>
        <w:strike w:val="0"/>
        <w:color w:val="231F20"/>
        <w:spacing w:val="0"/>
        <w:w w:val="100"/>
        <w:position w:val="0"/>
        <w:sz w:val="22"/>
        <w:szCs w:val="22"/>
        <w:u w:val="none"/>
        <w:shd w:val="clear" w:color="auto" w:fill="auto"/>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revisionView w:inkAnnotations="0"/>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B11"/>
    <w:rsid w:val="00022875"/>
    <w:rsid w:val="000D1540"/>
    <w:rsid w:val="0013790D"/>
    <w:rsid w:val="00154B69"/>
    <w:rsid w:val="00155186"/>
    <w:rsid w:val="001606C2"/>
    <w:rsid w:val="00176E1B"/>
    <w:rsid w:val="00325E2A"/>
    <w:rsid w:val="003C3769"/>
    <w:rsid w:val="00446ADC"/>
    <w:rsid w:val="004C539C"/>
    <w:rsid w:val="0058178B"/>
    <w:rsid w:val="00587354"/>
    <w:rsid w:val="005F26D1"/>
    <w:rsid w:val="007B4CCD"/>
    <w:rsid w:val="007E4B11"/>
    <w:rsid w:val="007F0AA4"/>
    <w:rsid w:val="008F6025"/>
    <w:rsid w:val="0094413E"/>
    <w:rsid w:val="00990890"/>
    <w:rsid w:val="00AE78C9"/>
    <w:rsid w:val="00B30584"/>
    <w:rsid w:val="00B85415"/>
    <w:rsid w:val="00B97211"/>
    <w:rsid w:val="00BD1327"/>
    <w:rsid w:val="00BF077A"/>
    <w:rsid w:val="00C1388B"/>
    <w:rsid w:val="00C55D06"/>
    <w:rsid w:val="00CF1452"/>
    <w:rsid w:val="00CF572D"/>
    <w:rsid w:val="00D0567A"/>
    <w:rsid w:val="00D22CC8"/>
    <w:rsid w:val="00DF43B1"/>
    <w:rsid w:val="00E437EC"/>
    <w:rsid w:val="00F35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0BB310-66AD-4A2D-A4D3-16C32131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fr"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
    <w:name w:val="Body text|1_"/>
    <w:basedOn w:val="DefaultParagraphFont"/>
    <w:link w:val="Bodytext10"/>
    <w:rPr>
      <w:b w:val="0"/>
      <w:i w:val="0"/>
      <w:smallCaps w:val="0"/>
      <w:strike w:val="0"/>
      <w:color w:val="231F20"/>
      <w:sz w:val="22"/>
      <w:u w:val="none"/>
    </w:rPr>
  </w:style>
  <w:style w:type="character" w:customStyle="1" w:styleId="Bodytext2">
    <w:name w:val="Body text|2_"/>
    <w:basedOn w:val="DefaultParagraphFont"/>
    <w:link w:val="Bodytext20"/>
    <w:rPr>
      <w:b w:val="0"/>
      <w:i w:val="0"/>
      <w:smallCaps w:val="0"/>
      <w:strike w:val="0"/>
      <w:color w:val="EBEBEB"/>
      <w:sz w:val="18"/>
      <w:u w:val="none"/>
    </w:rPr>
  </w:style>
  <w:style w:type="character" w:customStyle="1" w:styleId="Headerorfooter2">
    <w:name w:val="Header or footer|2_"/>
    <w:basedOn w:val="DefaultParagraphFont"/>
    <w:link w:val="Headerorfooter20"/>
    <w:rPr>
      <w:b w:val="0"/>
      <w:i w:val="0"/>
      <w:smallCaps w:val="0"/>
      <w:strike w:val="0"/>
      <w:sz w:val="20"/>
      <w:u w:val="none"/>
    </w:rPr>
  </w:style>
  <w:style w:type="character" w:customStyle="1" w:styleId="Bodytext3">
    <w:name w:val="Body text|3_"/>
    <w:basedOn w:val="DefaultParagraphFont"/>
    <w:link w:val="Bodytext30"/>
    <w:rPr>
      <w:b/>
      <w:i w:val="0"/>
      <w:smallCaps w:val="0"/>
      <w:strike w:val="0"/>
      <w:color w:val="002559"/>
      <w:sz w:val="40"/>
      <w:u w:val="none"/>
    </w:rPr>
  </w:style>
  <w:style w:type="character" w:customStyle="1" w:styleId="Heading11">
    <w:name w:val="Heading #1|1_"/>
    <w:basedOn w:val="DefaultParagraphFont"/>
    <w:link w:val="Heading110"/>
    <w:rPr>
      <w:b/>
      <w:i w:val="0"/>
      <w:smallCaps w:val="0"/>
      <w:strike w:val="0"/>
      <w:color w:val="005AAA"/>
      <w:sz w:val="92"/>
      <w:u w:val="none"/>
    </w:rPr>
  </w:style>
  <w:style w:type="character" w:customStyle="1" w:styleId="Heading21">
    <w:name w:val="Heading #2|1_"/>
    <w:basedOn w:val="DefaultParagraphFont"/>
    <w:link w:val="Heading210"/>
    <w:rPr>
      <w:b w:val="0"/>
      <w:i w:val="0"/>
      <w:smallCaps w:val="0"/>
      <w:strike w:val="0"/>
      <w:color w:val="002559"/>
      <w:sz w:val="58"/>
      <w:u w:val="none"/>
    </w:rPr>
  </w:style>
  <w:style w:type="character" w:customStyle="1" w:styleId="Heading41">
    <w:name w:val="Heading #4|1_"/>
    <w:basedOn w:val="DefaultParagraphFont"/>
    <w:link w:val="Heading410"/>
    <w:rPr>
      <w:b/>
      <w:i w:val="0"/>
      <w:smallCaps w:val="0"/>
      <w:strike w:val="0"/>
      <w:color w:val="005AAA"/>
      <w:sz w:val="22"/>
      <w:u w:val="none"/>
    </w:rPr>
  </w:style>
  <w:style w:type="character" w:customStyle="1" w:styleId="Heading31">
    <w:name w:val="Heading #3|1_"/>
    <w:basedOn w:val="DefaultParagraphFont"/>
    <w:link w:val="Heading310"/>
    <w:rPr>
      <w:b/>
      <w:i w:val="0"/>
      <w:smallCaps w:val="0"/>
      <w:strike w:val="0"/>
      <w:color w:val="005AAA"/>
      <w:sz w:val="42"/>
      <w:u w:val="none"/>
    </w:rPr>
  </w:style>
  <w:style w:type="paragraph" w:customStyle="1" w:styleId="Bodytext10">
    <w:name w:val="Body text|1"/>
    <w:basedOn w:val="Normal"/>
    <w:link w:val="Bodytext1"/>
    <w:pPr>
      <w:spacing w:after="220"/>
    </w:pPr>
    <w:rPr>
      <w:color w:val="231F20"/>
      <w:sz w:val="22"/>
    </w:rPr>
  </w:style>
  <w:style w:type="paragraph" w:customStyle="1" w:styleId="Bodytext20">
    <w:name w:val="Body text|2"/>
    <w:basedOn w:val="Normal"/>
    <w:link w:val="Bodytext2"/>
    <w:pPr>
      <w:spacing w:line="276" w:lineRule="auto"/>
    </w:pPr>
    <w:rPr>
      <w:color w:val="EBEBEB"/>
      <w:sz w:val="18"/>
    </w:rPr>
  </w:style>
  <w:style w:type="paragraph" w:customStyle="1" w:styleId="Headerorfooter20">
    <w:name w:val="Header or footer|2"/>
    <w:basedOn w:val="Normal"/>
    <w:link w:val="Headerorfooter2"/>
    <w:rPr>
      <w:sz w:val="20"/>
    </w:rPr>
  </w:style>
  <w:style w:type="paragraph" w:customStyle="1" w:styleId="Bodytext30">
    <w:name w:val="Body text|3"/>
    <w:basedOn w:val="Normal"/>
    <w:link w:val="Bodytext3"/>
    <w:rPr>
      <w:b/>
      <w:color w:val="002559"/>
      <w:sz w:val="40"/>
    </w:rPr>
  </w:style>
  <w:style w:type="paragraph" w:customStyle="1" w:styleId="Heading110">
    <w:name w:val="Heading #1|1"/>
    <w:basedOn w:val="Normal"/>
    <w:link w:val="Heading11"/>
    <w:pPr>
      <w:outlineLvl w:val="0"/>
    </w:pPr>
    <w:rPr>
      <w:b/>
      <w:color w:val="005AAA"/>
      <w:sz w:val="92"/>
    </w:rPr>
  </w:style>
  <w:style w:type="paragraph" w:customStyle="1" w:styleId="Heading210">
    <w:name w:val="Heading #2|1"/>
    <w:basedOn w:val="Normal"/>
    <w:link w:val="Heading21"/>
    <w:pPr>
      <w:spacing w:after="700"/>
      <w:outlineLvl w:val="1"/>
    </w:pPr>
    <w:rPr>
      <w:color w:val="002559"/>
      <w:sz w:val="58"/>
    </w:rPr>
  </w:style>
  <w:style w:type="paragraph" w:customStyle="1" w:styleId="Heading410">
    <w:name w:val="Heading #4|1"/>
    <w:basedOn w:val="Normal"/>
    <w:link w:val="Heading41"/>
    <w:pPr>
      <w:spacing w:line="230" w:lineRule="auto"/>
      <w:outlineLvl w:val="3"/>
    </w:pPr>
    <w:rPr>
      <w:b/>
      <w:color w:val="005AAA"/>
      <w:sz w:val="22"/>
    </w:rPr>
  </w:style>
  <w:style w:type="paragraph" w:customStyle="1" w:styleId="Heading310">
    <w:name w:val="Heading #3|1"/>
    <w:basedOn w:val="Normal"/>
    <w:link w:val="Heading31"/>
    <w:pPr>
      <w:spacing w:after="340"/>
      <w:outlineLvl w:val="2"/>
    </w:pPr>
    <w:rPr>
      <w:b/>
      <w:color w:val="005AAA"/>
      <w:sz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3538</Words>
  <Characters>20170</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Kraemer</dc:creator>
  <cp:lastModifiedBy>Susanne Kraemer</cp:lastModifiedBy>
  <cp:revision>2</cp:revision>
  <dcterms:created xsi:type="dcterms:W3CDTF">2022-04-26T12:53:00Z</dcterms:created>
  <dcterms:modified xsi:type="dcterms:W3CDTF">2022-04-26T12:53:00Z</dcterms:modified>
</cp:coreProperties>
</file>