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871E2" w14:textId="77777777" w:rsidR="000C7DB8" w:rsidRDefault="00125B30">
      <w:pPr>
        <w:pStyle w:val="Bodytext20"/>
        <w:spacing w:after="0"/>
      </w:pPr>
      <w:r>
        <w:rPr>
          <w:rStyle w:val="Bodytext2"/>
          <w:b/>
        </w:rPr>
        <w:t>B 08129</w:t>
      </w:r>
    </w:p>
    <w:p w14:paraId="4115B38F" w14:textId="77777777" w:rsidR="000C7DB8" w:rsidRDefault="00125B30">
      <w:pPr>
        <w:pStyle w:val="Bodytext40"/>
        <w:spacing w:after="0" w:line="218" w:lineRule="auto"/>
        <w:rPr>
          <w:sz w:val="42"/>
        </w:rPr>
      </w:pPr>
      <w:r>
        <w:rPr>
          <w:rStyle w:val="Bodytext4"/>
          <w:b/>
          <w:sz w:val="42"/>
        </w:rPr>
        <w:t>8/2022</w:t>
      </w:r>
    </w:p>
    <w:p w14:paraId="78964139" w14:textId="77777777" w:rsidR="000C7DB8" w:rsidRDefault="003C1D9C">
      <w:pPr>
        <w:pStyle w:val="Bodytext20"/>
        <w:spacing w:after="500"/>
      </w:pPr>
      <w:r>
        <w:rPr>
          <w:rStyle w:val="Bodytext2"/>
        </w:rPr>
        <w:t>30. Year</w:t>
      </w:r>
      <w:r w:rsidR="00125B30">
        <w:rPr>
          <w:rStyle w:val="Bodytext2"/>
        </w:rPr>
        <w:t>/April 2022 ISSN 1434-3460</w:t>
      </w:r>
    </w:p>
    <w:p w14:paraId="37512477" w14:textId="77777777" w:rsidR="000C7DB8" w:rsidRDefault="00125B30">
      <w:pPr>
        <w:pStyle w:val="Heading110"/>
        <w:keepNext/>
        <w:keepLines/>
      </w:pPr>
      <w:bookmarkStart w:id="0" w:name="bookmark0"/>
      <w:proofErr w:type="spellStart"/>
      <w:r>
        <w:rPr>
          <w:rStyle w:val="Heading11"/>
          <w:b/>
        </w:rPr>
        <w:t>DNotI</w:t>
      </w:r>
      <w:proofErr w:type="spellEnd"/>
      <w:r>
        <w:rPr>
          <w:rStyle w:val="Heading11"/>
          <w:b/>
          <w:sz w:val="70"/>
        </w:rPr>
        <w:t>—</w:t>
      </w:r>
      <w:r>
        <w:rPr>
          <w:rStyle w:val="Heading11"/>
          <w:b/>
        </w:rPr>
        <w:t>Report</w:t>
      </w:r>
      <w:bookmarkEnd w:id="0"/>
    </w:p>
    <w:p w14:paraId="3EF0AD57" w14:textId="77777777" w:rsidR="000C7DB8" w:rsidRDefault="00125B30">
      <w:pPr>
        <w:pStyle w:val="Bodytext30"/>
      </w:pPr>
      <w:r>
        <w:rPr>
          <w:rStyle w:val="Bodytext3"/>
        </w:rPr>
        <w:t>Information Service</w:t>
      </w:r>
    </w:p>
    <w:p w14:paraId="3236C0B7" w14:textId="77777777" w:rsidR="000C7DB8" w:rsidRDefault="003C1D9C">
      <w:pPr>
        <w:pStyle w:val="Heading210"/>
        <w:keepNext/>
        <w:keepLines/>
      </w:pPr>
      <w:bookmarkStart w:id="1" w:name="bookmark2"/>
      <w:proofErr w:type="spellStart"/>
      <w:r>
        <w:rPr>
          <w:rStyle w:val="Bodytext3"/>
        </w:rPr>
        <w:t>Deutsches</w:t>
      </w:r>
      <w:proofErr w:type="spellEnd"/>
      <w:r>
        <w:rPr>
          <w:rStyle w:val="Bodytext3"/>
        </w:rPr>
        <w:t xml:space="preserve"> </w:t>
      </w:r>
      <w:proofErr w:type="spellStart"/>
      <w:r w:rsidR="00125B30">
        <w:rPr>
          <w:rStyle w:val="Heading21"/>
          <w:i/>
        </w:rPr>
        <w:t>Notarinstitut</w:t>
      </w:r>
      <w:bookmarkEnd w:id="1"/>
      <w:proofErr w:type="spellEnd"/>
    </w:p>
    <w:p w14:paraId="1FE3AE90" w14:textId="77777777" w:rsidR="00D66690" w:rsidRDefault="00125B30" w:rsidP="00D66690">
      <w:pPr>
        <w:pStyle w:val="Bodytext40"/>
        <w:pBdr>
          <w:top w:val="single" w:sz="4" w:space="0" w:color="auto"/>
        </w:pBdr>
        <w:spacing w:after="600" w:line="240" w:lineRule="auto"/>
        <w:rPr>
          <w:rStyle w:val="Bodytext4"/>
          <w:b/>
        </w:rPr>
      </w:pPr>
      <w:r>
        <w:rPr>
          <w:rStyle w:val="Bodytext4"/>
          <w:b/>
        </w:rPr>
        <w:t>Presentation of the content</w:t>
      </w:r>
      <w:bookmarkStart w:id="2" w:name="bookmark4"/>
    </w:p>
    <w:p w14:paraId="0CAA4027" w14:textId="309D5C1E" w:rsidR="000C7DB8" w:rsidRPr="0004069D" w:rsidRDefault="00125B30" w:rsidP="00D66690">
      <w:pPr>
        <w:pStyle w:val="Bodytext40"/>
        <w:pBdr>
          <w:top w:val="single" w:sz="4" w:space="0" w:color="auto"/>
        </w:pBdr>
        <w:spacing w:after="600" w:line="240" w:lineRule="auto"/>
      </w:pPr>
      <w:proofErr w:type="spellStart"/>
      <w:r w:rsidRPr="0004069D">
        <w:rPr>
          <w:rStyle w:val="Heading41"/>
          <w:b/>
        </w:rPr>
        <w:t>DNotI’s</w:t>
      </w:r>
      <w:proofErr w:type="spellEnd"/>
      <w:r w:rsidRPr="0004069D">
        <w:rPr>
          <w:rStyle w:val="Heading41"/>
          <w:b/>
        </w:rPr>
        <w:t xml:space="preserve"> practice of expertise</w:t>
      </w:r>
      <w:bookmarkEnd w:id="2"/>
    </w:p>
    <w:p w14:paraId="7A6BD588" w14:textId="77777777" w:rsidR="000C7DB8" w:rsidRPr="0004069D" w:rsidRDefault="00125B30">
      <w:pPr>
        <w:pStyle w:val="Bodytext10"/>
        <w:spacing w:line="221" w:lineRule="auto"/>
      </w:pPr>
      <w:r w:rsidRPr="0004069D">
        <w:rPr>
          <w:rStyle w:val="Bodytext1"/>
          <w:color w:val="002559"/>
        </w:rPr>
        <w:t>(Extract)</w:t>
      </w:r>
    </w:p>
    <w:p w14:paraId="15EBB98C" w14:textId="77777777" w:rsidR="000C7DB8" w:rsidRPr="0004069D" w:rsidRDefault="00125B30">
      <w:pPr>
        <w:pStyle w:val="Bodytext10"/>
        <w:spacing w:after="0" w:line="221" w:lineRule="auto"/>
        <w:jc w:val="both"/>
        <w:sectPr w:rsidR="000C7DB8" w:rsidRPr="0004069D">
          <w:headerReference w:type="even" r:id="rId7"/>
          <w:headerReference w:type="default" r:id="rId8"/>
          <w:footerReference w:type="even" r:id="rId9"/>
          <w:footerReference w:type="default" r:id="rId10"/>
          <w:headerReference w:type="first" r:id="rId11"/>
          <w:footerReference w:type="first" r:id="rId12"/>
          <w:pgSz w:w="11900" w:h="16840"/>
          <w:pgMar w:top="1215" w:right="1392" w:bottom="1154" w:left="1368" w:header="787" w:footer="3" w:gutter="0"/>
          <w:pgNumType w:start="58"/>
          <w:cols w:space="720"/>
          <w:noEndnote/>
          <w:docGrid w:linePitch="360"/>
        </w:sectPr>
      </w:pPr>
      <w:r w:rsidRPr="0004069D">
        <w:rPr>
          <w:rStyle w:val="Bodytext1"/>
          <w:color w:val="002559"/>
        </w:rPr>
        <w:t xml:space="preserve">Article 22 of Regulation (EU) 2016/1103 Matrimonial Regimes; Articles 21, 34 and 75 of Regulation (EU) 650/2012 Successions; Article 16 of the Hague Convention of 19 October 1996 on Jurisdiction, Applicable Law, Recognition, Enforcement and Cooperation in Respect of Parental Responsibility and Measures for the Protection of Children; Art. 8 EGBGB </w:t>
      </w:r>
      <w:r w:rsidRPr="0004069D">
        <w:rPr>
          <w:rStyle w:val="Bodytext1"/>
          <w:i/>
          <w:color w:val="002559"/>
        </w:rPr>
        <w:t>(</w:t>
      </w:r>
      <w:proofErr w:type="spellStart"/>
      <w:r w:rsidRPr="0004069D">
        <w:rPr>
          <w:rStyle w:val="Bodytext1"/>
          <w:i/>
          <w:color w:val="002559"/>
        </w:rPr>
        <w:t>Einführungsgesetz</w:t>
      </w:r>
      <w:proofErr w:type="spellEnd"/>
      <w:r w:rsidRPr="0004069D">
        <w:rPr>
          <w:rStyle w:val="Bodytext1"/>
          <w:i/>
          <w:color w:val="002559"/>
        </w:rPr>
        <w:t xml:space="preserve"> </w:t>
      </w:r>
      <w:proofErr w:type="spellStart"/>
      <w:r w:rsidRPr="0004069D">
        <w:rPr>
          <w:rStyle w:val="Bodytext1"/>
          <w:i/>
          <w:color w:val="002559"/>
        </w:rPr>
        <w:t>zum</w:t>
      </w:r>
      <w:proofErr w:type="spellEnd"/>
      <w:r w:rsidRPr="0004069D">
        <w:rPr>
          <w:rStyle w:val="Bodytext1"/>
          <w:i/>
          <w:color w:val="002559"/>
        </w:rPr>
        <w:t xml:space="preserve"> </w:t>
      </w:r>
      <w:proofErr w:type="spellStart"/>
      <w:r w:rsidRPr="0004069D">
        <w:rPr>
          <w:rStyle w:val="Bodytext1"/>
          <w:i/>
          <w:color w:val="002559"/>
        </w:rPr>
        <w:t>Bürgerlichen</w:t>
      </w:r>
      <w:proofErr w:type="spellEnd"/>
      <w:r w:rsidRPr="0004069D">
        <w:rPr>
          <w:rStyle w:val="Bodytext1"/>
          <w:i/>
          <w:color w:val="002559"/>
        </w:rPr>
        <w:t xml:space="preserve"> </w:t>
      </w:r>
      <w:proofErr w:type="spellStart"/>
      <w:r w:rsidRPr="0004069D">
        <w:rPr>
          <w:rStyle w:val="Bodytext1"/>
          <w:i/>
          <w:color w:val="002559"/>
        </w:rPr>
        <w:t>Gesetzbuch</w:t>
      </w:r>
      <w:proofErr w:type="spellEnd"/>
      <w:r w:rsidRPr="0004069D">
        <w:rPr>
          <w:rStyle w:val="Bodytext1"/>
          <w:i/>
          <w:color w:val="002559"/>
        </w:rPr>
        <w:t>);</w:t>
      </w:r>
      <w:r w:rsidRPr="0004069D">
        <w:rPr>
          <w:rStyle w:val="Bodytext1"/>
          <w:color w:val="002559"/>
        </w:rPr>
        <w:t xml:space="preserve"> EGBGB old version Art. 14, 15 — Ukraine: Frequent legal issues related to Ukrainian actors in notarial practice</w:t>
      </w:r>
    </w:p>
    <w:p w14:paraId="0F39DC25" w14:textId="77777777" w:rsidR="000C7DB8" w:rsidRPr="0004069D" w:rsidRDefault="000C7DB8">
      <w:pPr>
        <w:spacing w:line="240" w:lineRule="exact"/>
        <w:rPr>
          <w:sz w:val="19"/>
        </w:rPr>
      </w:pPr>
    </w:p>
    <w:p w14:paraId="39BF3854" w14:textId="77777777" w:rsidR="000C7DB8" w:rsidRPr="0004069D" w:rsidRDefault="000C7DB8">
      <w:pPr>
        <w:spacing w:line="240" w:lineRule="exact"/>
        <w:rPr>
          <w:sz w:val="19"/>
        </w:rPr>
      </w:pPr>
    </w:p>
    <w:p w14:paraId="77E0D3E4" w14:textId="77777777" w:rsidR="000C7DB8" w:rsidRPr="0004069D" w:rsidRDefault="000C7DB8">
      <w:pPr>
        <w:spacing w:line="240" w:lineRule="exact"/>
        <w:rPr>
          <w:sz w:val="19"/>
        </w:rPr>
      </w:pPr>
    </w:p>
    <w:p w14:paraId="072DC8D1" w14:textId="77777777" w:rsidR="000C7DB8" w:rsidRPr="0004069D" w:rsidRDefault="000C7DB8">
      <w:pPr>
        <w:spacing w:line="1" w:lineRule="exact"/>
        <w:sectPr w:rsidR="000C7DB8" w:rsidRPr="0004069D">
          <w:type w:val="continuous"/>
          <w:pgSz w:w="11900" w:h="16840"/>
          <w:pgMar w:top="917" w:right="0" w:bottom="1093" w:left="0" w:header="0" w:footer="3" w:gutter="0"/>
          <w:cols w:space="720"/>
          <w:noEndnote/>
          <w:docGrid w:linePitch="360"/>
        </w:sectPr>
      </w:pPr>
    </w:p>
    <w:p w14:paraId="027DBE7D" w14:textId="77777777" w:rsidR="000C7DB8" w:rsidRPr="0004069D" w:rsidRDefault="00125B30">
      <w:pPr>
        <w:pStyle w:val="Heading310"/>
        <w:keepNext/>
        <w:keepLines/>
        <w:jc w:val="both"/>
      </w:pPr>
      <w:bookmarkStart w:id="3" w:name="bookmark6"/>
      <w:proofErr w:type="spellStart"/>
      <w:r w:rsidRPr="0004069D">
        <w:rPr>
          <w:rStyle w:val="Heading31"/>
          <w:b/>
        </w:rPr>
        <w:lastRenderedPageBreak/>
        <w:t>DNotI’s</w:t>
      </w:r>
      <w:proofErr w:type="spellEnd"/>
      <w:r w:rsidRPr="0004069D">
        <w:rPr>
          <w:rStyle w:val="Heading31"/>
          <w:b/>
        </w:rPr>
        <w:t xml:space="preserve"> practice of expertise</w:t>
      </w:r>
      <w:bookmarkEnd w:id="3"/>
    </w:p>
    <w:p w14:paraId="2D017C9B" w14:textId="77777777" w:rsidR="000C7DB8" w:rsidRPr="0004069D" w:rsidRDefault="00125B30">
      <w:pPr>
        <w:pStyle w:val="Bodytext10"/>
        <w:spacing w:after="0" w:line="262" w:lineRule="auto"/>
        <w:jc w:val="both"/>
        <w:rPr>
          <w:sz w:val="24"/>
        </w:rPr>
      </w:pPr>
      <w:r w:rsidRPr="0004069D">
        <w:rPr>
          <w:rStyle w:val="Bodytext1"/>
          <w:b/>
          <w:color w:val="005AAA"/>
          <w:sz w:val="24"/>
        </w:rPr>
        <w:t>Article 22 of Regulation 2019/1103;</w:t>
      </w:r>
    </w:p>
    <w:p w14:paraId="2D160CD2" w14:textId="77777777" w:rsidR="000C7DB8" w:rsidRPr="0004069D" w:rsidRDefault="00125B30">
      <w:pPr>
        <w:pStyle w:val="Bodytext10"/>
        <w:spacing w:after="0" w:line="262" w:lineRule="auto"/>
        <w:jc w:val="both"/>
        <w:rPr>
          <w:sz w:val="24"/>
        </w:rPr>
      </w:pPr>
      <w:r w:rsidRPr="0004069D">
        <w:rPr>
          <w:rStyle w:val="Bodytext1"/>
          <w:b/>
          <w:color w:val="005AAA"/>
          <w:sz w:val="24"/>
        </w:rPr>
        <w:t>Articles 21, 34 and 75 of Regulation 650/2012;</w:t>
      </w:r>
    </w:p>
    <w:p w14:paraId="41F69BD9" w14:textId="77777777" w:rsidR="000C7DB8" w:rsidRPr="0004069D" w:rsidRDefault="00125B30">
      <w:pPr>
        <w:pStyle w:val="Bodytext10"/>
        <w:spacing w:after="0" w:line="262" w:lineRule="auto"/>
        <w:jc w:val="both"/>
        <w:rPr>
          <w:sz w:val="24"/>
        </w:rPr>
      </w:pPr>
      <w:r w:rsidRPr="0004069D">
        <w:rPr>
          <w:rStyle w:val="Bodytext1"/>
          <w:b/>
          <w:color w:val="005AAA"/>
          <w:sz w:val="24"/>
        </w:rPr>
        <w:t xml:space="preserve">Article 16 of the Hague Convention of 19 October 1996 on Jurisdiction, Applicable Law, Recognition, Enforcement and Cooperation in Respect of Parental Responsibility and Measures for the Protection of Children; EGBGB </w:t>
      </w:r>
      <w:r w:rsidRPr="0004069D">
        <w:rPr>
          <w:rStyle w:val="Bodytext1"/>
          <w:b/>
          <w:i/>
          <w:color w:val="005AAA"/>
          <w:sz w:val="24"/>
        </w:rPr>
        <w:t>(</w:t>
      </w:r>
      <w:proofErr w:type="spellStart"/>
      <w:r w:rsidRPr="0004069D">
        <w:rPr>
          <w:rStyle w:val="Bodytext1"/>
          <w:b/>
          <w:i/>
          <w:color w:val="005AAA"/>
          <w:sz w:val="24"/>
        </w:rPr>
        <w:t>Einführungsgesetz</w:t>
      </w:r>
      <w:proofErr w:type="spellEnd"/>
      <w:r w:rsidRPr="0004069D">
        <w:rPr>
          <w:rStyle w:val="Bodytext1"/>
          <w:b/>
          <w:i/>
          <w:color w:val="005AAA"/>
          <w:sz w:val="24"/>
        </w:rPr>
        <w:t xml:space="preserve"> </w:t>
      </w:r>
      <w:proofErr w:type="spellStart"/>
      <w:r w:rsidRPr="0004069D">
        <w:rPr>
          <w:rStyle w:val="Bodytext1"/>
          <w:b/>
          <w:i/>
          <w:color w:val="005AAA"/>
          <w:sz w:val="24"/>
        </w:rPr>
        <w:t>zum</w:t>
      </w:r>
      <w:proofErr w:type="spellEnd"/>
      <w:r w:rsidRPr="0004069D">
        <w:rPr>
          <w:rStyle w:val="Bodytext1"/>
          <w:b/>
          <w:i/>
          <w:color w:val="005AAA"/>
          <w:sz w:val="24"/>
        </w:rPr>
        <w:t xml:space="preserve"> </w:t>
      </w:r>
      <w:proofErr w:type="spellStart"/>
      <w:r w:rsidRPr="0004069D">
        <w:rPr>
          <w:rStyle w:val="Bodytext1"/>
          <w:b/>
          <w:i/>
          <w:color w:val="005AAA"/>
          <w:sz w:val="24"/>
        </w:rPr>
        <w:t>Bürgerlichen</w:t>
      </w:r>
      <w:proofErr w:type="spellEnd"/>
      <w:r w:rsidRPr="0004069D">
        <w:rPr>
          <w:rStyle w:val="Bodytext1"/>
          <w:b/>
          <w:i/>
          <w:color w:val="005AAA"/>
          <w:sz w:val="24"/>
        </w:rPr>
        <w:t xml:space="preserve"> </w:t>
      </w:r>
      <w:proofErr w:type="spellStart"/>
      <w:r w:rsidRPr="0004069D">
        <w:rPr>
          <w:rStyle w:val="Bodytext1"/>
          <w:b/>
          <w:i/>
          <w:color w:val="005AAA"/>
          <w:sz w:val="24"/>
        </w:rPr>
        <w:t>Gesetzbuch</w:t>
      </w:r>
      <w:proofErr w:type="spellEnd"/>
      <w:r w:rsidRPr="0004069D">
        <w:rPr>
          <w:rStyle w:val="Bodytext1"/>
          <w:b/>
          <w:i/>
          <w:color w:val="005AAA"/>
          <w:sz w:val="24"/>
        </w:rPr>
        <w:t>)</w:t>
      </w:r>
      <w:r w:rsidRPr="0004069D">
        <w:rPr>
          <w:rStyle w:val="Bodytext1"/>
          <w:b/>
          <w:color w:val="005AAA"/>
          <w:sz w:val="24"/>
        </w:rPr>
        <w:t xml:space="preserve"> Art. 8; EGBGB old version Art. 14, 15</w:t>
      </w:r>
    </w:p>
    <w:p w14:paraId="2CC59938" w14:textId="77777777" w:rsidR="000C7DB8" w:rsidRPr="0004069D" w:rsidRDefault="00125B30">
      <w:pPr>
        <w:pStyle w:val="Bodytext10"/>
        <w:pBdr>
          <w:bottom w:val="single" w:sz="4" w:space="0" w:color="auto"/>
        </w:pBdr>
        <w:spacing w:after="280" w:line="262" w:lineRule="auto"/>
        <w:jc w:val="both"/>
        <w:rPr>
          <w:sz w:val="24"/>
        </w:rPr>
      </w:pPr>
      <w:r w:rsidRPr="0004069D">
        <w:rPr>
          <w:rStyle w:val="Bodytext1"/>
          <w:b/>
          <w:color w:val="005AAA"/>
          <w:sz w:val="24"/>
        </w:rPr>
        <w:t>Ukraine: Frequent legal issues</w:t>
      </w:r>
      <w:r w:rsidR="003C12DC" w:rsidRPr="0004069D">
        <w:rPr>
          <w:rStyle w:val="Bodytext1"/>
          <w:b/>
          <w:color w:val="005AAA"/>
          <w:sz w:val="24"/>
        </w:rPr>
        <w:t xml:space="preserve"> in relation to Ukrainian nationals</w:t>
      </w:r>
      <w:r w:rsidRPr="0004069D">
        <w:rPr>
          <w:rStyle w:val="Bodytext1"/>
          <w:b/>
          <w:color w:val="005AAA"/>
          <w:sz w:val="24"/>
        </w:rPr>
        <w:t xml:space="preserve"> in notarial practice</w:t>
      </w:r>
    </w:p>
    <w:p w14:paraId="3393B477" w14:textId="77777777" w:rsidR="000C7DB8" w:rsidRPr="0004069D" w:rsidRDefault="00125B30">
      <w:pPr>
        <w:pStyle w:val="Bodytext10"/>
        <w:spacing w:after="160" w:line="221" w:lineRule="auto"/>
        <w:jc w:val="both"/>
      </w:pPr>
      <w:r w:rsidRPr="0004069D">
        <w:rPr>
          <w:rStyle w:val="Bodytext1"/>
        </w:rPr>
        <w:t>In the context of the war in Ukraine, legal is</w:t>
      </w:r>
      <w:r w:rsidR="003C12DC" w:rsidRPr="0004069D">
        <w:rPr>
          <w:rStyle w:val="Bodytext1"/>
        </w:rPr>
        <w:t>sues related to Ukrainian nationals</w:t>
      </w:r>
      <w:r w:rsidRPr="0004069D">
        <w:rPr>
          <w:rStyle w:val="Bodytext1"/>
        </w:rPr>
        <w:t xml:space="preserve"> are increasingly arising in notarial practice. The summary below is intended to provide an o</w:t>
      </w:r>
      <w:r w:rsidR="003C1D9C" w:rsidRPr="0004069D">
        <w:rPr>
          <w:rStyle w:val="Bodytext1"/>
        </w:rPr>
        <w:t>verview of the main legal questions</w:t>
      </w:r>
      <w:r w:rsidRPr="0004069D">
        <w:rPr>
          <w:rStyle w:val="Bodytext1"/>
        </w:rPr>
        <w:t xml:space="preserve"> in this area.</w:t>
      </w:r>
    </w:p>
    <w:p w14:paraId="447EF8C5" w14:textId="77777777" w:rsidR="000C7DB8" w:rsidRPr="0004069D" w:rsidRDefault="00125B30">
      <w:pPr>
        <w:pStyle w:val="Heading410"/>
        <w:keepNext/>
        <w:keepLines/>
        <w:numPr>
          <w:ilvl w:val="0"/>
          <w:numId w:val="1"/>
        </w:numPr>
        <w:tabs>
          <w:tab w:val="left" w:pos="289"/>
        </w:tabs>
        <w:spacing w:after="0" w:line="223" w:lineRule="auto"/>
        <w:ind w:left="0" w:firstLine="0"/>
        <w:jc w:val="both"/>
        <w:rPr>
          <w:rStyle w:val="Heading41"/>
          <w:b/>
        </w:rPr>
      </w:pPr>
      <w:bookmarkStart w:id="4" w:name="bookmark8"/>
      <w:r w:rsidRPr="0004069D">
        <w:rPr>
          <w:rStyle w:val="Heading41"/>
          <w:b/>
          <w:color w:val="005AAA"/>
        </w:rPr>
        <w:t>What is the legal matrimonial regime in Ukraine?</w:t>
      </w:r>
      <w:bookmarkEnd w:id="4"/>
    </w:p>
    <w:p w14:paraId="561A789A" w14:textId="77777777" w:rsidR="003C1D9C" w:rsidRPr="0004069D" w:rsidRDefault="003C1D9C" w:rsidP="003C1D9C">
      <w:pPr>
        <w:pStyle w:val="Heading410"/>
        <w:keepNext/>
        <w:keepLines/>
        <w:tabs>
          <w:tab w:val="left" w:pos="289"/>
        </w:tabs>
        <w:spacing w:after="0" w:line="223" w:lineRule="auto"/>
        <w:ind w:left="0" w:firstLine="0"/>
        <w:jc w:val="both"/>
      </w:pPr>
    </w:p>
    <w:p w14:paraId="5091A062" w14:textId="77777777" w:rsidR="003C1D9C" w:rsidRPr="0004069D" w:rsidRDefault="00125B30">
      <w:pPr>
        <w:pStyle w:val="Bodytext10"/>
        <w:spacing w:line="223" w:lineRule="auto"/>
        <w:jc w:val="both"/>
        <w:rPr>
          <w:rStyle w:val="Bodytext1"/>
        </w:rPr>
      </w:pPr>
      <w:r w:rsidRPr="0004069D">
        <w:rPr>
          <w:rStyle w:val="Bodytext1"/>
        </w:rPr>
        <w:t xml:space="preserve">The legal matrimonial regime in Ukraine is a form of </w:t>
      </w:r>
      <w:r w:rsidR="003C1D9C" w:rsidRPr="0004069D">
        <w:rPr>
          <w:rStyle w:val="Bodytext1"/>
        </w:rPr>
        <w:t xml:space="preserve">joint ownership of subsequently acquired property. </w:t>
      </w:r>
      <w:r w:rsidRPr="0004069D">
        <w:rPr>
          <w:rStyle w:val="Bodytext1"/>
        </w:rPr>
        <w:t xml:space="preserve">The property acquired </w:t>
      </w:r>
      <w:r w:rsidR="003C1D9C" w:rsidRPr="0004069D">
        <w:rPr>
          <w:rStyle w:val="Bodytext1"/>
        </w:rPr>
        <w:t xml:space="preserve">against payment </w:t>
      </w:r>
      <w:r w:rsidRPr="0004069D">
        <w:rPr>
          <w:rStyle w:val="Bodytext1"/>
        </w:rPr>
        <w:t>in the course of marriage belongs to the spo</w:t>
      </w:r>
      <w:r w:rsidR="003C1D9C" w:rsidRPr="0004069D">
        <w:rPr>
          <w:rStyle w:val="Bodytext1"/>
        </w:rPr>
        <w:t xml:space="preserve">uses as collective co-ownership </w:t>
      </w:r>
      <w:r w:rsidRPr="0004069D">
        <w:rPr>
          <w:rStyle w:val="Bodytext1"/>
        </w:rPr>
        <w:t xml:space="preserve">(art. 60 of the Ukrainian Family Code of 10 January 2002). Common property includes, inter alia, property acquired by virtue of the family during marriage and the income of the wife and spouse (see Article 61 of the Ukrainian Family Code; see, on this subject, </w:t>
      </w:r>
      <w:proofErr w:type="spellStart"/>
      <w:r w:rsidRPr="0004069D">
        <w:rPr>
          <w:rStyle w:val="Bodytext1"/>
        </w:rPr>
        <w:t>Himmelreich</w:t>
      </w:r>
      <w:proofErr w:type="spellEnd"/>
      <w:r w:rsidRPr="0004069D">
        <w:rPr>
          <w:rStyle w:val="Bodytext1"/>
        </w:rPr>
        <w:t xml:space="preserve">, in: </w:t>
      </w:r>
      <w:proofErr w:type="spellStart"/>
      <w:r w:rsidRPr="0004069D">
        <w:rPr>
          <w:rStyle w:val="Bodytext1"/>
        </w:rPr>
        <w:t>Eherecht</w:t>
      </w:r>
      <w:proofErr w:type="spellEnd"/>
      <w:r w:rsidRPr="0004069D">
        <w:rPr>
          <w:rStyle w:val="Bodytext1"/>
        </w:rPr>
        <w:t xml:space="preserve"> in Europa, 4th</w:t>
      </w:r>
      <w:r w:rsidRPr="0004069D">
        <w:rPr>
          <w:rStyle w:val="Bodytext1"/>
          <w:vertAlign w:val="superscript"/>
        </w:rPr>
        <w:t>edition</w:t>
      </w:r>
      <w:r w:rsidRPr="0004069D">
        <w:rPr>
          <w:rStyle w:val="Bodytext1"/>
        </w:rPr>
        <w:t xml:space="preserve"> 2021, </w:t>
      </w:r>
      <w:proofErr w:type="spellStart"/>
      <w:r w:rsidRPr="0004069D">
        <w:rPr>
          <w:rStyle w:val="Bodytext1"/>
        </w:rPr>
        <w:t>Länderbericht</w:t>
      </w:r>
      <w:proofErr w:type="spellEnd"/>
      <w:r w:rsidRPr="0004069D">
        <w:rPr>
          <w:rStyle w:val="Bodytext1"/>
        </w:rPr>
        <w:t xml:space="preserve"> Ukraine, No 25). This is the case, regardless of the name with which the contract was concluded. Property brought into marriage or acquired i</w:t>
      </w:r>
      <w:r w:rsidR="008E7702" w:rsidRPr="0004069D">
        <w:rPr>
          <w:rStyle w:val="Bodytext1"/>
        </w:rPr>
        <w:t>n the course of marriage by donation</w:t>
      </w:r>
      <w:r w:rsidRPr="0004069D">
        <w:rPr>
          <w:rStyle w:val="Bodytext1"/>
        </w:rPr>
        <w:t xml:space="preserve"> or succession is excluded </w:t>
      </w:r>
      <w:r w:rsidR="003C1D9C" w:rsidRPr="0004069D">
        <w:rPr>
          <w:rStyle w:val="Bodytext1"/>
        </w:rPr>
        <w:t>from the joint property</w:t>
      </w:r>
      <w:r w:rsidRPr="0004069D">
        <w:rPr>
          <w:rStyle w:val="Bodytext1"/>
        </w:rPr>
        <w:t xml:space="preserve">. The relevant provisions of Articles </w:t>
      </w:r>
    </w:p>
    <w:p w14:paraId="7DC2B3C7" w14:textId="77777777" w:rsidR="000C7DB8" w:rsidRPr="0004069D" w:rsidRDefault="00125B30">
      <w:pPr>
        <w:pStyle w:val="Bodytext10"/>
        <w:spacing w:line="223" w:lineRule="auto"/>
        <w:jc w:val="both"/>
      </w:pPr>
      <w:r w:rsidRPr="0004069D">
        <w:rPr>
          <w:rStyle w:val="Bodytext1"/>
        </w:rPr>
        <w:t>57 and 58 of the Ukrainian Family Code provide as follows (</w:t>
      </w:r>
      <w:proofErr w:type="spellStart"/>
      <w:r w:rsidRPr="0004069D">
        <w:rPr>
          <w:rStyle w:val="Bodytext1"/>
        </w:rPr>
        <w:t>Daschenko</w:t>
      </w:r>
      <w:proofErr w:type="spellEnd"/>
      <w:r w:rsidRPr="0004069D">
        <w:rPr>
          <w:rStyle w:val="Bodytext1"/>
        </w:rPr>
        <w:t>, in: Bergmann/</w:t>
      </w:r>
      <w:proofErr w:type="spellStart"/>
      <w:r w:rsidRPr="0004069D">
        <w:rPr>
          <w:rStyle w:val="Bodytext1"/>
        </w:rPr>
        <w:t>Ferid</w:t>
      </w:r>
      <w:proofErr w:type="spellEnd"/>
      <w:r w:rsidRPr="0004069D">
        <w:rPr>
          <w:rStyle w:val="Bodytext1"/>
        </w:rPr>
        <w:t xml:space="preserve">, </w:t>
      </w:r>
      <w:proofErr w:type="spellStart"/>
      <w:r w:rsidRPr="0004069D">
        <w:rPr>
          <w:rStyle w:val="Bodytext1"/>
        </w:rPr>
        <w:t>Internationales</w:t>
      </w:r>
      <w:proofErr w:type="spellEnd"/>
      <w:r w:rsidRPr="0004069D">
        <w:rPr>
          <w:rStyle w:val="Bodytext1"/>
        </w:rPr>
        <w:t xml:space="preserve"> </w:t>
      </w:r>
      <w:proofErr w:type="spellStart"/>
      <w:r w:rsidRPr="0004069D">
        <w:rPr>
          <w:rStyle w:val="Bodytext1"/>
        </w:rPr>
        <w:t>Ehe</w:t>
      </w:r>
      <w:proofErr w:type="spellEnd"/>
      <w:r w:rsidRPr="0004069D">
        <w:rPr>
          <w:rStyle w:val="Bodytext1"/>
        </w:rPr>
        <w:t xml:space="preserve">- und </w:t>
      </w:r>
      <w:proofErr w:type="spellStart"/>
      <w:r w:rsidRPr="0004069D">
        <w:rPr>
          <w:rStyle w:val="Bodytext1"/>
        </w:rPr>
        <w:t>Kindschaftsrecht</w:t>
      </w:r>
      <w:proofErr w:type="spellEnd"/>
      <w:r w:rsidRPr="0004069D">
        <w:rPr>
          <w:rStyle w:val="Bodytext1"/>
        </w:rPr>
        <w:t xml:space="preserve">, </w:t>
      </w:r>
      <w:proofErr w:type="spellStart"/>
      <w:r w:rsidRPr="0004069D">
        <w:rPr>
          <w:rStyle w:val="Bodytext1"/>
        </w:rPr>
        <w:t>Länderbericht</w:t>
      </w:r>
      <w:proofErr w:type="spellEnd"/>
      <w:r w:rsidRPr="0004069D">
        <w:rPr>
          <w:rStyle w:val="Bodytext1"/>
        </w:rPr>
        <w:t xml:space="preserve"> Ukraine, 31.1.2018, page 71:</w:t>
      </w:r>
    </w:p>
    <w:p w14:paraId="3177D3E0" w14:textId="77777777" w:rsidR="000C7DB8" w:rsidRPr="0004069D" w:rsidRDefault="00125B30">
      <w:pPr>
        <w:pStyle w:val="Bodytext10"/>
        <w:spacing w:line="206" w:lineRule="auto"/>
        <w:jc w:val="both"/>
      </w:pPr>
      <w:r w:rsidRPr="0004069D">
        <w:rPr>
          <w:rStyle w:val="Bodytext1"/>
          <w:b/>
          <w:i/>
        </w:rPr>
        <w:t>Art. 57 Personal private property of a spouse</w:t>
      </w:r>
    </w:p>
    <w:p w14:paraId="5D081882" w14:textId="77777777" w:rsidR="000C7DB8" w:rsidRPr="0004069D" w:rsidRDefault="008E7702">
      <w:pPr>
        <w:pStyle w:val="Bodytext10"/>
        <w:spacing w:line="228" w:lineRule="auto"/>
        <w:ind w:left="160" w:hanging="160"/>
        <w:jc w:val="both"/>
      </w:pPr>
      <w:r w:rsidRPr="0004069D">
        <w:rPr>
          <w:rStyle w:val="Bodytext1"/>
          <w:i/>
        </w:rPr>
        <w:t>(1)Part of the spouses’</w:t>
      </w:r>
      <w:r w:rsidR="00125B30" w:rsidRPr="0004069D">
        <w:rPr>
          <w:rStyle w:val="Bodytext1"/>
          <w:i/>
        </w:rPr>
        <w:t xml:space="preserve"> personal private property:</w:t>
      </w:r>
    </w:p>
    <w:p w14:paraId="1AA10ECB" w14:textId="77777777" w:rsidR="000C7DB8" w:rsidRPr="0004069D" w:rsidRDefault="00125B30">
      <w:pPr>
        <w:pStyle w:val="Bodytext10"/>
        <w:numPr>
          <w:ilvl w:val="0"/>
          <w:numId w:val="2"/>
        </w:numPr>
        <w:tabs>
          <w:tab w:val="left" w:pos="741"/>
        </w:tabs>
        <w:spacing w:line="209" w:lineRule="auto"/>
        <w:ind w:left="760" w:hanging="360"/>
        <w:jc w:val="both"/>
      </w:pPr>
      <w:r w:rsidRPr="0004069D">
        <w:rPr>
          <w:rStyle w:val="Bodytext1"/>
          <w:i/>
        </w:rPr>
        <w:t xml:space="preserve">property acquired by </w:t>
      </w:r>
      <w:r w:rsidR="003C1D9C" w:rsidRPr="0004069D">
        <w:rPr>
          <w:rStyle w:val="Bodytext1"/>
          <w:i/>
        </w:rPr>
        <w:t xml:space="preserve">her </w:t>
      </w:r>
      <w:r w:rsidRPr="0004069D">
        <w:rPr>
          <w:rStyle w:val="Bodytext1"/>
          <w:i/>
        </w:rPr>
        <w:t>or by him before the marriage;</w:t>
      </w:r>
    </w:p>
    <w:p w14:paraId="2FC133E0" w14:textId="77777777" w:rsidR="000C7DB8" w:rsidRPr="0004069D" w:rsidRDefault="00125B30">
      <w:pPr>
        <w:pStyle w:val="Bodytext10"/>
        <w:numPr>
          <w:ilvl w:val="0"/>
          <w:numId w:val="2"/>
        </w:numPr>
        <w:tabs>
          <w:tab w:val="left" w:pos="741"/>
        </w:tabs>
        <w:spacing w:line="218" w:lineRule="auto"/>
        <w:ind w:left="760" w:hanging="360"/>
        <w:jc w:val="both"/>
      </w:pPr>
      <w:r w:rsidRPr="0004069D">
        <w:rPr>
          <w:rStyle w:val="Bodytext1"/>
          <w:i/>
        </w:rPr>
        <w:t xml:space="preserve">property acquired by </w:t>
      </w:r>
      <w:r w:rsidR="003C1D9C" w:rsidRPr="0004069D">
        <w:rPr>
          <w:rStyle w:val="Bodytext1"/>
          <w:i/>
        </w:rPr>
        <w:t xml:space="preserve">her </w:t>
      </w:r>
      <w:r w:rsidRPr="0004069D">
        <w:rPr>
          <w:rStyle w:val="Bodytext1"/>
          <w:i/>
        </w:rPr>
        <w:t xml:space="preserve">or by him in </w:t>
      </w:r>
      <w:r w:rsidR="008E7702" w:rsidRPr="0004069D">
        <w:rPr>
          <w:rStyle w:val="Bodytext1"/>
          <w:i/>
        </w:rPr>
        <w:t xml:space="preserve">the </w:t>
      </w:r>
      <w:r w:rsidR="008E7702" w:rsidRPr="0004069D">
        <w:rPr>
          <w:rStyle w:val="Bodytext1"/>
          <w:i/>
        </w:rPr>
        <w:t>marriage by virtue of a donation</w:t>
      </w:r>
      <w:r w:rsidRPr="0004069D">
        <w:rPr>
          <w:rStyle w:val="Bodytext1"/>
          <w:i/>
        </w:rPr>
        <w:t xml:space="preserve"> or succession;</w:t>
      </w:r>
    </w:p>
    <w:p w14:paraId="21EFDFB5" w14:textId="77777777" w:rsidR="000C7DB8" w:rsidRPr="0004069D" w:rsidRDefault="00125B30">
      <w:pPr>
        <w:pStyle w:val="Bodytext10"/>
        <w:numPr>
          <w:ilvl w:val="0"/>
          <w:numId w:val="2"/>
        </w:numPr>
        <w:tabs>
          <w:tab w:val="left" w:pos="741"/>
        </w:tabs>
        <w:spacing w:line="218" w:lineRule="auto"/>
        <w:ind w:left="760" w:hanging="360"/>
        <w:jc w:val="both"/>
      </w:pPr>
      <w:r w:rsidRPr="0004069D">
        <w:rPr>
          <w:rStyle w:val="Bodytext1"/>
          <w:i/>
        </w:rPr>
        <w:t>property acquired by herself or by himself in</w:t>
      </w:r>
      <w:r w:rsidR="008E7702" w:rsidRPr="0004069D">
        <w:rPr>
          <w:rStyle w:val="Bodytext1"/>
          <w:i/>
        </w:rPr>
        <w:t xml:space="preserve"> the</w:t>
      </w:r>
      <w:r w:rsidRPr="0004069D">
        <w:rPr>
          <w:rStyle w:val="Bodytext1"/>
          <w:i/>
        </w:rPr>
        <w:t xml:space="preserve"> marriage, but by her </w:t>
      </w:r>
      <w:r w:rsidR="008E7702" w:rsidRPr="0004069D">
        <w:rPr>
          <w:rStyle w:val="Bodytext1"/>
          <w:i/>
        </w:rPr>
        <w:t xml:space="preserve">or his </w:t>
      </w:r>
      <w:r w:rsidRPr="0004069D">
        <w:rPr>
          <w:rStyle w:val="Bodytext1"/>
          <w:i/>
        </w:rPr>
        <w:t>personal means.</w:t>
      </w:r>
    </w:p>
    <w:p w14:paraId="0A65F999" w14:textId="77777777" w:rsidR="000C7DB8" w:rsidRPr="0004069D" w:rsidRDefault="00125B30">
      <w:pPr>
        <w:pStyle w:val="Bodytext10"/>
        <w:numPr>
          <w:ilvl w:val="0"/>
          <w:numId w:val="3"/>
        </w:numPr>
        <w:tabs>
          <w:tab w:val="left" w:pos="366"/>
        </w:tabs>
        <w:spacing w:line="218" w:lineRule="auto"/>
        <w:ind w:left="400" w:hanging="400"/>
        <w:jc w:val="both"/>
      </w:pPr>
      <w:r w:rsidRPr="0004069D">
        <w:rPr>
          <w:rStyle w:val="Bodytext1"/>
          <w:i/>
        </w:rPr>
        <w:t>The personal privat</w:t>
      </w:r>
      <w:r w:rsidR="008E7702" w:rsidRPr="0004069D">
        <w:rPr>
          <w:rStyle w:val="Bodytext1"/>
          <w:i/>
        </w:rPr>
        <w:t>e property of the spouses</w:t>
      </w:r>
      <w:r w:rsidRPr="0004069D">
        <w:rPr>
          <w:rStyle w:val="Bodytext1"/>
          <w:i/>
        </w:rPr>
        <w:t xml:space="preserve"> is property of individual use, including valuable property, even if it has been acquired with joint funds of the spouses.</w:t>
      </w:r>
    </w:p>
    <w:p w14:paraId="05252A11" w14:textId="77777777" w:rsidR="000C7DB8" w:rsidRPr="0004069D" w:rsidRDefault="008E7702">
      <w:pPr>
        <w:pStyle w:val="Bodytext10"/>
        <w:numPr>
          <w:ilvl w:val="0"/>
          <w:numId w:val="3"/>
        </w:numPr>
        <w:tabs>
          <w:tab w:val="left" w:pos="366"/>
        </w:tabs>
        <w:spacing w:line="218" w:lineRule="auto"/>
        <w:ind w:left="400" w:hanging="400"/>
        <w:jc w:val="both"/>
      </w:pPr>
      <w:r w:rsidRPr="0004069D">
        <w:rPr>
          <w:rStyle w:val="Bodytext1"/>
          <w:i/>
        </w:rPr>
        <w:t>Belong to the</w:t>
      </w:r>
      <w:r w:rsidR="00125B30" w:rsidRPr="0004069D">
        <w:rPr>
          <w:rStyle w:val="Bodytext1"/>
          <w:i/>
        </w:rPr>
        <w:t xml:space="preserve"> personal private property of the </w:t>
      </w:r>
      <w:r w:rsidRPr="0004069D">
        <w:rPr>
          <w:rStyle w:val="Bodytext1"/>
          <w:i/>
        </w:rPr>
        <w:t xml:space="preserve">spouses: bonus and rewards </w:t>
      </w:r>
      <w:r w:rsidR="00125B30" w:rsidRPr="0004069D">
        <w:rPr>
          <w:rStyle w:val="Bodytext1"/>
          <w:i/>
        </w:rPr>
        <w:t xml:space="preserve">they have received for personal merits. The court may </w:t>
      </w:r>
      <w:proofErr w:type="spellStart"/>
      <w:r w:rsidR="00125B30" w:rsidRPr="0004069D">
        <w:rPr>
          <w:rStyle w:val="Bodytext1"/>
          <w:i/>
        </w:rPr>
        <w:t>recognise</w:t>
      </w:r>
      <w:proofErr w:type="spellEnd"/>
      <w:r w:rsidR="00125B30" w:rsidRPr="0004069D">
        <w:rPr>
          <w:rStyle w:val="Bodytext1"/>
          <w:i/>
        </w:rPr>
        <w:t xml:space="preserve"> the right of the other spouse to obtain part of the bonus or reward if it is established that the other spouse has contributed to their continuation throu</w:t>
      </w:r>
      <w:r w:rsidRPr="0004069D">
        <w:rPr>
          <w:rStyle w:val="Bodytext1"/>
          <w:i/>
        </w:rPr>
        <w:t>gh his/her</w:t>
      </w:r>
      <w:r w:rsidR="00125B30" w:rsidRPr="0004069D">
        <w:rPr>
          <w:rStyle w:val="Bodytext1"/>
          <w:i/>
        </w:rPr>
        <w:t xml:space="preserve"> actions</w:t>
      </w:r>
      <w:r w:rsidR="00125B30" w:rsidRPr="0004069D">
        <w:rPr>
          <w:rStyle w:val="Bodytext1"/>
        </w:rPr>
        <w:t xml:space="preserve"> (</w:t>
      </w:r>
      <w:r w:rsidRPr="0004069D">
        <w:rPr>
          <w:rStyle w:val="Bodytext1"/>
        </w:rPr>
        <w:t>household</w:t>
      </w:r>
      <w:r w:rsidR="00125B30" w:rsidRPr="0004069D">
        <w:rPr>
          <w:rStyle w:val="Bodytext1"/>
        </w:rPr>
        <w:t>, children, etc.).</w:t>
      </w:r>
    </w:p>
    <w:p w14:paraId="7DCB8C96" w14:textId="77777777" w:rsidR="008E7702" w:rsidRPr="0004069D" w:rsidRDefault="00125B30" w:rsidP="008E7702">
      <w:pPr>
        <w:pStyle w:val="Bodytext10"/>
        <w:numPr>
          <w:ilvl w:val="0"/>
          <w:numId w:val="3"/>
        </w:numPr>
        <w:tabs>
          <w:tab w:val="left" w:pos="366"/>
        </w:tabs>
        <w:spacing w:line="218" w:lineRule="auto"/>
        <w:ind w:left="400" w:hanging="400"/>
        <w:jc w:val="both"/>
        <w:rPr>
          <w:rStyle w:val="Bodytext1"/>
          <w:i/>
        </w:rPr>
      </w:pPr>
      <w:r w:rsidRPr="0004069D">
        <w:rPr>
          <w:rStyle w:val="Bodytext1"/>
          <w:i/>
        </w:rPr>
        <w:t>The personal priva</w:t>
      </w:r>
      <w:r w:rsidR="008E7702" w:rsidRPr="0004069D">
        <w:rPr>
          <w:rStyle w:val="Bodytext1"/>
          <w:i/>
        </w:rPr>
        <w:t>te property of the spouses</w:t>
      </w:r>
      <w:r w:rsidRPr="0004069D">
        <w:rPr>
          <w:rStyle w:val="Bodytext1"/>
          <w:i/>
        </w:rPr>
        <w:t xml:space="preserve"> includes the means they have received in their capacity </w:t>
      </w:r>
      <w:r w:rsidR="008E7702" w:rsidRPr="0004069D">
        <w:rPr>
          <w:rStyle w:val="Bodytext1"/>
          <w:i/>
        </w:rPr>
        <w:t>as compensation for lost (damaged) property and moral damage caused to them.</w:t>
      </w:r>
    </w:p>
    <w:p w14:paraId="00821EA3" w14:textId="77777777" w:rsidR="000C7DB8" w:rsidRPr="0004069D" w:rsidRDefault="000C7DB8" w:rsidP="00D66690">
      <w:pPr>
        <w:pStyle w:val="Bodytext10"/>
        <w:tabs>
          <w:tab w:val="left" w:pos="366"/>
        </w:tabs>
        <w:spacing w:line="216" w:lineRule="auto"/>
        <w:jc w:val="both"/>
      </w:pPr>
    </w:p>
    <w:p w14:paraId="3C170808" w14:textId="77777777" w:rsidR="000C7DB8" w:rsidRPr="0004069D" w:rsidRDefault="00125B30">
      <w:pPr>
        <w:pStyle w:val="Bodytext10"/>
        <w:numPr>
          <w:ilvl w:val="0"/>
          <w:numId w:val="3"/>
        </w:numPr>
        <w:tabs>
          <w:tab w:val="left" w:pos="366"/>
        </w:tabs>
        <w:spacing w:line="218" w:lineRule="auto"/>
        <w:ind w:left="420" w:hanging="420"/>
        <w:jc w:val="both"/>
      </w:pPr>
      <w:r w:rsidRPr="0004069D">
        <w:rPr>
          <w:rStyle w:val="Bodytext1"/>
          <w:i/>
        </w:rPr>
        <w:t xml:space="preserve">Part of the personal private property of the </w:t>
      </w:r>
      <w:r w:rsidR="008E7702" w:rsidRPr="0004069D">
        <w:rPr>
          <w:rStyle w:val="Bodytext1"/>
          <w:i/>
        </w:rPr>
        <w:t xml:space="preserve">spouses </w:t>
      </w:r>
      <w:r w:rsidRPr="0004069D">
        <w:rPr>
          <w:rStyle w:val="Bodytext1"/>
          <w:i/>
        </w:rPr>
        <w:t>is an amou</w:t>
      </w:r>
      <w:r w:rsidR="008E7702" w:rsidRPr="0004069D">
        <w:rPr>
          <w:rStyle w:val="Bodytext1"/>
          <w:i/>
        </w:rPr>
        <w:t>nt of insurance which she or he</w:t>
      </w:r>
      <w:r w:rsidRPr="0004069D">
        <w:rPr>
          <w:rStyle w:val="Bodytext1"/>
          <w:i/>
        </w:rPr>
        <w:t xml:space="preserve"> has received by way of private insurance or voluntary personal insurance, provided that the </w:t>
      </w:r>
      <w:r w:rsidR="008E7702" w:rsidRPr="0004069D">
        <w:rPr>
          <w:rStyle w:val="Bodytext1"/>
          <w:i/>
        </w:rPr>
        <w:t xml:space="preserve">insurance fees </w:t>
      </w:r>
      <w:r w:rsidRPr="0004069D">
        <w:rPr>
          <w:rStyle w:val="Bodytext1"/>
          <w:i/>
        </w:rPr>
        <w:t>have been paid through resources belonging to the personal property of the spouse concerned.</w:t>
      </w:r>
    </w:p>
    <w:p w14:paraId="5A9BF977" w14:textId="77777777" w:rsidR="000C7DB8" w:rsidRPr="0004069D" w:rsidRDefault="00125B30">
      <w:pPr>
        <w:pStyle w:val="Bodytext10"/>
        <w:numPr>
          <w:ilvl w:val="0"/>
          <w:numId w:val="3"/>
        </w:numPr>
        <w:tabs>
          <w:tab w:val="left" w:pos="366"/>
        </w:tabs>
        <w:spacing w:line="221" w:lineRule="auto"/>
        <w:ind w:left="420" w:hanging="420"/>
        <w:jc w:val="both"/>
      </w:pPr>
      <w:r w:rsidRPr="0004069D">
        <w:rPr>
          <w:rStyle w:val="Bodytext1"/>
          <w:i/>
        </w:rPr>
        <w:t xml:space="preserve">The court may </w:t>
      </w:r>
      <w:proofErr w:type="spellStart"/>
      <w:r w:rsidRPr="0004069D">
        <w:rPr>
          <w:rStyle w:val="Bodytext1"/>
          <w:i/>
        </w:rPr>
        <w:t>recognise</w:t>
      </w:r>
      <w:proofErr w:type="spellEnd"/>
      <w:r w:rsidRPr="0004069D">
        <w:rPr>
          <w:rStyle w:val="Bodytext1"/>
          <w:i/>
        </w:rPr>
        <w:t xml:space="preserve"> as personal private property of the wife or spouse what has been acquired by her or herself during the period of separation in connection with the ac</w:t>
      </w:r>
      <w:r w:rsidR="008E7702" w:rsidRPr="0004069D">
        <w:rPr>
          <w:rStyle w:val="Bodytext1"/>
          <w:i/>
        </w:rPr>
        <w:t>tual termination of the marriage.</w:t>
      </w:r>
    </w:p>
    <w:p w14:paraId="2CBE2CEA" w14:textId="77777777" w:rsidR="000C7DB8" w:rsidRPr="0004069D" w:rsidRDefault="00125B30">
      <w:pPr>
        <w:pStyle w:val="Bodytext10"/>
        <w:numPr>
          <w:ilvl w:val="0"/>
          <w:numId w:val="3"/>
        </w:numPr>
        <w:tabs>
          <w:tab w:val="left" w:pos="366"/>
        </w:tabs>
        <w:spacing w:line="216" w:lineRule="auto"/>
        <w:ind w:left="420" w:hanging="420"/>
        <w:jc w:val="both"/>
      </w:pPr>
      <w:r w:rsidRPr="0004069D">
        <w:rPr>
          <w:rStyle w:val="Bodytext1"/>
          <w:i/>
        </w:rPr>
        <w:t xml:space="preserve">If </w:t>
      </w:r>
      <w:r w:rsidR="008E7702" w:rsidRPr="0004069D">
        <w:rPr>
          <w:rStyle w:val="Bodytext1"/>
          <w:i/>
        </w:rPr>
        <w:t>the property has been acquired</w:t>
      </w:r>
      <w:r w:rsidRPr="0004069D">
        <w:rPr>
          <w:rStyle w:val="Bodytext1"/>
          <w:i/>
        </w:rPr>
        <w:t>, not only by joint funds but also by funds belonging to one of the spouses,</w:t>
      </w:r>
      <w:r w:rsidR="008E7702" w:rsidRPr="0004069D">
        <w:rPr>
          <w:rStyle w:val="Bodytext1"/>
          <w:i/>
        </w:rPr>
        <w:t xml:space="preserve"> the share of the property is her/his </w:t>
      </w:r>
      <w:r w:rsidRPr="0004069D">
        <w:rPr>
          <w:rStyle w:val="Bodytext1"/>
          <w:i/>
        </w:rPr>
        <w:t>private personal property,</w:t>
      </w:r>
      <w:r w:rsidRPr="0004069D">
        <w:rPr>
          <w:rStyle w:val="Bodytext1"/>
        </w:rPr>
        <w:t xml:space="preserve"> </w:t>
      </w:r>
      <w:r w:rsidRPr="0004069D">
        <w:rPr>
          <w:rStyle w:val="Bodytext1"/>
          <w:i/>
        </w:rPr>
        <w:t>depending on the amount of the financial contribution.</w:t>
      </w:r>
    </w:p>
    <w:p w14:paraId="16CDC8F4" w14:textId="77777777" w:rsidR="000C7DB8" w:rsidRPr="0004069D" w:rsidRDefault="005E47D4">
      <w:pPr>
        <w:pStyle w:val="Bodytext10"/>
        <w:spacing w:line="218" w:lineRule="auto"/>
        <w:jc w:val="both"/>
      </w:pPr>
      <w:r w:rsidRPr="0004069D">
        <w:rPr>
          <w:rStyle w:val="Bodytext1"/>
          <w:b/>
          <w:i/>
        </w:rPr>
        <w:t xml:space="preserve">Article 58 Right to fruit/ benefits </w:t>
      </w:r>
      <w:r w:rsidR="00125B30" w:rsidRPr="0004069D">
        <w:rPr>
          <w:rStyle w:val="Bodytext1"/>
          <w:b/>
          <w:i/>
        </w:rPr>
        <w:t>and income of property belonging to the private property of a spouse</w:t>
      </w:r>
    </w:p>
    <w:p w14:paraId="6FA2F81A" w14:textId="77777777" w:rsidR="000C7DB8" w:rsidRPr="0004069D" w:rsidRDefault="005E47D4">
      <w:pPr>
        <w:pStyle w:val="Bodytext10"/>
        <w:spacing w:line="221" w:lineRule="auto"/>
        <w:jc w:val="both"/>
      </w:pPr>
      <w:r w:rsidRPr="0004069D">
        <w:rPr>
          <w:rStyle w:val="Bodytext1"/>
          <w:i/>
        </w:rPr>
        <w:t>Where an object</w:t>
      </w:r>
      <w:r w:rsidR="00125B30" w:rsidRPr="0004069D">
        <w:rPr>
          <w:rStyle w:val="Bodytext1"/>
          <w:i/>
        </w:rPr>
        <w:t xml:space="preserve"> belonging to one of the spouses produces </w:t>
      </w:r>
      <w:r w:rsidRPr="0004069D">
        <w:rPr>
          <w:rStyle w:val="Bodytext1"/>
          <w:i/>
        </w:rPr>
        <w:t xml:space="preserve">a benefit or </w:t>
      </w:r>
      <w:r w:rsidR="00125B30" w:rsidRPr="0004069D">
        <w:rPr>
          <w:rStyle w:val="Bodytext1"/>
          <w:i/>
        </w:rPr>
        <w:t xml:space="preserve">a return (dividend), the spouse owns </w:t>
      </w:r>
      <w:r w:rsidRPr="0004069D">
        <w:rPr>
          <w:rStyle w:val="Bodytext1"/>
          <w:i/>
        </w:rPr>
        <w:t xml:space="preserve">those benefits or returns </w:t>
      </w:r>
      <w:r w:rsidR="00125B30" w:rsidRPr="0004069D">
        <w:rPr>
          <w:rStyle w:val="Bodytext1"/>
          <w:i/>
        </w:rPr>
        <w:t>(dividends).</w:t>
      </w:r>
    </w:p>
    <w:p w14:paraId="5A14F7E0" w14:textId="77777777" w:rsidR="000C7DB8" w:rsidRPr="0004069D" w:rsidRDefault="00125B30">
      <w:pPr>
        <w:pStyle w:val="Bodytext10"/>
        <w:spacing w:line="221" w:lineRule="auto"/>
        <w:jc w:val="both"/>
      </w:pPr>
      <w:r w:rsidRPr="0004069D">
        <w:rPr>
          <w:rStyle w:val="Bodytext1"/>
        </w:rPr>
        <w:t xml:space="preserve">Objects not covered by Articles 57, 58 of the Ukrainian Family Code and acquired during marriage are part of the </w:t>
      </w:r>
      <w:r w:rsidRPr="0004069D">
        <w:rPr>
          <w:rStyle w:val="Bodytext1"/>
          <w:b/>
        </w:rPr>
        <w:t>community/common property</w:t>
      </w:r>
      <w:r w:rsidRPr="0004069D">
        <w:rPr>
          <w:rStyle w:val="Bodytext1"/>
        </w:rPr>
        <w:t xml:space="preserve">. The possession and use of the </w:t>
      </w:r>
      <w:r w:rsidR="005E47D4" w:rsidRPr="0004069D">
        <w:rPr>
          <w:rStyle w:val="Bodytext1"/>
        </w:rPr>
        <w:t xml:space="preserve">common property and </w:t>
      </w:r>
      <w:r w:rsidRPr="0004069D">
        <w:rPr>
          <w:rStyle w:val="Bodytext1"/>
        </w:rPr>
        <w:t xml:space="preserve">the arrangements made in relation to those assets must be exercised </w:t>
      </w:r>
      <w:r w:rsidR="005E47D4" w:rsidRPr="0004069D">
        <w:rPr>
          <w:rStyle w:val="Bodytext1"/>
        </w:rPr>
        <w:t xml:space="preserve">jointly. </w:t>
      </w:r>
      <w:r w:rsidRPr="0004069D">
        <w:rPr>
          <w:rStyle w:val="Bodytext1"/>
        </w:rPr>
        <w:t xml:space="preserve">Spouses who have </w:t>
      </w:r>
      <w:r w:rsidR="005E47D4" w:rsidRPr="0004069D">
        <w:rPr>
          <w:rStyle w:val="Bodytext1"/>
        </w:rPr>
        <w:t xml:space="preserve">not concluded another </w:t>
      </w:r>
      <w:r w:rsidRPr="0004069D">
        <w:rPr>
          <w:rStyle w:val="Bodytext1"/>
        </w:rPr>
        <w:t xml:space="preserve">contractual agreement have the same rights (art. 65 (1), 63 of the Ukrainian Family Code, see also </w:t>
      </w:r>
      <w:proofErr w:type="spellStart"/>
      <w:r w:rsidRPr="0004069D">
        <w:rPr>
          <w:rStyle w:val="Bodytext1"/>
        </w:rPr>
        <w:t>Himmelreich</w:t>
      </w:r>
      <w:proofErr w:type="spellEnd"/>
      <w:r w:rsidRPr="0004069D">
        <w:rPr>
          <w:rStyle w:val="Bodytext1"/>
        </w:rPr>
        <w:t>, No. 26).</w:t>
      </w:r>
    </w:p>
    <w:p w14:paraId="71764515" w14:textId="77777777" w:rsidR="000C7DB8" w:rsidRPr="0004069D" w:rsidRDefault="005E47D4">
      <w:pPr>
        <w:pStyle w:val="Bodytext10"/>
        <w:numPr>
          <w:ilvl w:val="0"/>
          <w:numId w:val="4"/>
        </w:numPr>
        <w:tabs>
          <w:tab w:val="left" w:pos="326"/>
        </w:tabs>
        <w:spacing w:line="218" w:lineRule="auto"/>
        <w:ind w:left="340" w:hanging="340"/>
        <w:jc w:val="both"/>
      </w:pPr>
      <w:r w:rsidRPr="0004069D">
        <w:rPr>
          <w:rStyle w:val="Bodytext1"/>
          <w:b/>
        </w:rPr>
        <w:lastRenderedPageBreak/>
        <w:t>How does the Ukrainian PIL</w:t>
      </w:r>
      <w:r w:rsidR="00125B30" w:rsidRPr="0004069D">
        <w:rPr>
          <w:rStyle w:val="Bodytext1"/>
          <w:b/>
        </w:rPr>
        <w:t xml:space="preserve"> determine the law applicable to the </w:t>
      </w:r>
      <w:r w:rsidRPr="0004069D">
        <w:rPr>
          <w:rStyle w:val="Bodytext1"/>
          <w:b/>
        </w:rPr>
        <w:t xml:space="preserve">matrimonial </w:t>
      </w:r>
      <w:r w:rsidR="00125B30" w:rsidRPr="0004069D">
        <w:rPr>
          <w:rStyle w:val="Bodytext1"/>
          <w:b/>
        </w:rPr>
        <w:t>proper</w:t>
      </w:r>
      <w:r w:rsidRPr="0004069D">
        <w:rPr>
          <w:rStyle w:val="Bodytext1"/>
          <w:b/>
        </w:rPr>
        <w:t>ty effects</w:t>
      </w:r>
      <w:r w:rsidR="00125B30" w:rsidRPr="0004069D">
        <w:rPr>
          <w:rStyle w:val="Bodytext1"/>
          <w:b/>
        </w:rPr>
        <w:t xml:space="preserve"> of marriage?</w:t>
      </w:r>
    </w:p>
    <w:p w14:paraId="6145285E" w14:textId="77777777" w:rsidR="000C7DB8" w:rsidRPr="0004069D" w:rsidRDefault="00125B30">
      <w:pPr>
        <w:pStyle w:val="Bodytext10"/>
        <w:spacing w:line="218" w:lineRule="auto"/>
        <w:jc w:val="both"/>
      </w:pPr>
      <w:r w:rsidRPr="0004069D">
        <w:rPr>
          <w:rStyle w:val="Bodytext1"/>
        </w:rPr>
        <w:t xml:space="preserve">For the purpose of examining the applicable matrimonial </w:t>
      </w:r>
      <w:r w:rsidR="0009271C" w:rsidRPr="0004069D">
        <w:rPr>
          <w:rStyle w:val="Bodytext1"/>
        </w:rPr>
        <w:t xml:space="preserve">property </w:t>
      </w:r>
      <w:r w:rsidRPr="0004069D">
        <w:rPr>
          <w:rStyle w:val="Bodytext1"/>
        </w:rPr>
        <w:t>regime, it is important, from a German point of view, whether the marriage was concluded befor</w:t>
      </w:r>
      <w:r w:rsidR="0009271C" w:rsidRPr="0004069D">
        <w:rPr>
          <w:rStyle w:val="Bodytext1"/>
        </w:rPr>
        <w:t>e or from 29 January 2019. In case</w:t>
      </w:r>
      <w:r w:rsidRPr="0004069D">
        <w:rPr>
          <w:rStyle w:val="Bodytext1"/>
        </w:rPr>
        <w:t xml:space="preserve"> the marriage has been or is concluded from that date, the </w:t>
      </w:r>
      <w:r w:rsidR="0009271C" w:rsidRPr="0004069D">
        <w:rPr>
          <w:rStyle w:val="Bodytext1"/>
        </w:rPr>
        <w:t xml:space="preserve">matrimonial </w:t>
      </w:r>
      <w:r w:rsidRPr="0004069D">
        <w:rPr>
          <w:rStyle w:val="Bodytext1"/>
        </w:rPr>
        <w:t>property consequences are governed by the conflict rules of Regulation 2019/1103.</w:t>
      </w:r>
    </w:p>
    <w:p w14:paraId="352A9429" w14:textId="77777777" w:rsidR="000C7DB8" w:rsidRPr="0004069D" w:rsidRDefault="00125B30">
      <w:pPr>
        <w:pStyle w:val="Bodytext10"/>
        <w:spacing w:line="209" w:lineRule="auto"/>
        <w:jc w:val="both"/>
      </w:pPr>
      <w:r w:rsidRPr="0004069D">
        <w:rPr>
          <w:rStyle w:val="Bodytext1"/>
        </w:rPr>
        <w:t xml:space="preserve">If the spouses </w:t>
      </w:r>
      <w:r w:rsidR="0009271C" w:rsidRPr="0004069D">
        <w:rPr>
          <w:rStyle w:val="Bodytext1"/>
        </w:rPr>
        <w:t xml:space="preserve">were </w:t>
      </w:r>
      <w:r w:rsidRPr="0004069D">
        <w:rPr>
          <w:rStyle w:val="Bodytext1"/>
        </w:rPr>
        <w:t xml:space="preserve">married on or after 29 January 2019, the </w:t>
      </w:r>
      <w:r w:rsidR="0009271C" w:rsidRPr="0004069D">
        <w:rPr>
          <w:rStyle w:val="Bodytext1"/>
        </w:rPr>
        <w:t xml:space="preserve">matrimonial </w:t>
      </w:r>
      <w:r w:rsidRPr="0004069D">
        <w:rPr>
          <w:rStyle w:val="Bodytext1"/>
        </w:rPr>
        <w:t xml:space="preserve">property consequences of the marriage </w:t>
      </w:r>
      <w:r w:rsidRPr="0004069D">
        <w:rPr>
          <w:rStyle w:val="Bodytext1"/>
          <w:color w:val="000000"/>
        </w:rPr>
        <w:t xml:space="preserve">are </w:t>
      </w:r>
      <w:r w:rsidRPr="0004069D">
        <w:rPr>
          <w:rStyle w:val="Bodytext1"/>
        </w:rPr>
        <w:t>governed by the law of the State in which the spouses had their first common habitual residence</w:t>
      </w:r>
      <w:r w:rsidR="0009271C" w:rsidRPr="0004069D">
        <w:rPr>
          <w:rStyle w:val="Bodytext1"/>
        </w:rPr>
        <w:t xml:space="preserve">, in accordance with Article 26(1)(a) </w:t>
      </w:r>
      <w:r w:rsidR="0009271C" w:rsidRPr="0004069D">
        <w:rPr>
          <w:rStyle w:val="Bodytext1"/>
          <w:color w:val="000000"/>
        </w:rPr>
        <w:t>of Regulation 2019/1103</w:t>
      </w:r>
      <w:r w:rsidRPr="0004069D">
        <w:rPr>
          <w:rStyle w:val="Bodytext1"/>
        </w:rPr>
        <w:t xml:space="preserve">. Therefore, if these two Ukrainians have always lived in Ukraine until the time of marriage, the Ukrainian matrimonial </w:t>
      </w:r>
      <w:r w:rsidR="0009271C" w:rsidRPr="0004069D">
        <w:rPr>
          <w:rStyle w:val="Bodytext1"/>
        </w:rPr>
        <w:t xml:space="preserve">property </w:t>
      </w:r>
      <w:r w:rsidRPr="0004069D">
        <w:rPr>
          <w:rStyle w:val="Bodytext1"/>
        </w:rPr>
        <w:t>re</w:t>
      </w:r>
      <w:r w:rsidR="0009271C" w:rsidRPr="0004069D">
        <w:rPr>
          <w:rStyle w:val="Bodytext1"/>
        </w:rPr>
        <w:t xml:space="preserve">gime applies. In this case, a </w:t>
      </w:r>
      <w:proofErr w:type="spellStart"/>
      <w:r w:rsidR="0009271C" w:rsidRPr="0004069D">
        <w:rPr>
          <w:rStyle w:val="Bodytext1"/>
          <w:i/>
        </w:rPr>
        <w:t>renvoi</w:t>
      </w:r>
      <w:proofErr w:type="spellEnd"/>
      <w:r w:rsidRPr="0004069D">
        <w:rPr>
          <w:rStyle w:val="Bodytext1"/>
          <w:i/>
        </w:rPr>
        <w:t xml:space="preserve"> </w:t>
      </w:r>
      <w:r w:rsidRPr="0004069D">
        <w:rPr>
          <w:rStyle w:val="Bodytext1"/>
        </w:rPr>
        <w:t>b</w:t>
      </w:r>
      <w:r w:rsidR="0009271C" w:rsidRPr="0004069D">
        <w:rPr>
          <w:rStyle w:val="Bodytext1"/>
        </w:rPr>
        <w:t>y Ukrainian PIL</w:t>
      </w:r>
      <w:r w:rsidRPr="0004069D">
        <w:rPr>
          <w:rStyle w:val="Bodytext1"/>
        </w:rPr>
        <w:t xml:space="preserve"> rules should not be taken into account, in accordance with Article 32 of Regulation 2019/1103.</w:t>
      </w:r>
    </w:p>
    <w:p w14:paraId="3D82C5F5" w14:textId="77777777" w:rsidR="000C7DB8" w:rsidRPr="0004069D" w:rsidRDefault="0009271C">
      <w:pPr>
        <w:pStyle w:val="Bodytext10"/>
        <w:spacing w:line="218" w:lineRule="auto"/>
        <w:jc w:val="both"/>
      </w:pPr>
      <w:r w:rsidRPr="0004069D">
        <w:rPr>
          <w:rStyle w:val="Bodytext1"/>
        </w:rPr>
        <w:t>However</w:t>
      </w:r>
      <w:r w:rsidR="00125B30" w:rsidRPr="0004069D">
        <w:rPr>
          <w:rStyle w:val="Bodytext1"/>
        </w:rPr>
        <w:t xml:space="preserve">, if the spouses </w:t>
      </w:r>
      <w:r w:rsidRPr="0004069D">
        <w:rPr>
          <w:rStyle w:val="Bodytext1"/>
        </w:rPr>
        <w:t xml:space="preserve">were </w:t>
      </w:r>
      <w:r w:rsidR="00125B30" w:rsidRPr="0004069D">
        <w:rPr>
          <w:rStyle w:val="Bodytext1"/>
        </w:rPr>
        <w:t>married before 29 Januar</w:t>
      </w:r>
      <w:r w:rsidR="00385B2C" w:rsidRPr="0004069D">
        <w:rPr>
          <w:rStyle w:val="Bodytext1"/>
        </w:rPr>
        <w:t>y 2019, the objective connecting factor</w:t>
      </w:r>
      <w:r w:rsidR="00125B30" w:rsidRPr="0004069D">
        <w:rPr>
          <w:rStyle w:val="Bodytext1"/>
        </w:rPr>
        <w:t xml:space="preserve"> of the effects of the </w:t>
      </w:r>
      <w:r w:rsidR="00385B2C" w:rsidRPr="0004069D">
        <w:rPr>
          <w:rStyle w:val="Bodytext1"/>
        </w:rPr>
        <w:t xml:space="preserve">matrimonial </w:t>
      </w:r>
      <w:r w:rsidR="00125B30" w:rsidRPr="0004069D">
        <w:rPr>
          <w:rStyle w:val="Bodytext1"/>
        </w:rPr>
        <w:t xml:space="preserve">property </w:t>
      </w:r>
      <w:r w:rsidR="00385B2C" w:rsidRPr="0004069D">
        <w:rPr>
          <w:rStyle w:val="Bodytext1"/>
        </w:rPr>
        <w:t xml:space="preserve">effects </w:t>
      </w:r>
      <w:r w:rsidR="00125B30" w:rsidRPr="0004069D">
        <w:rPr>
          <w:rStyle w:val="Bodytext1"/>
        </w:rPr>
        <w:t>of the marriage is gove</w:t>
      </w:r>
      <w:r w:rsidR="00385B2C" w:rsidRPr="0004069D">
        <w:rPr>
          <w:rStyle w:val="Bodytext1"/>
        </w:rPr>
        <w:t>rned by art.</w:t>
      </w:r>
      <w:r w:rsidR="00125B30" w:rsidRPr="0004069D">
        <w:rPr>
          <w:rStyle w:val="Bodytext1"/>
        </w:rPr>
        <w:t xml:space="preserve"> 15 EGBGB </w:t>
      </w:r>
      <w:r w:rsidR="00125B30" w:rsidRPr="0004069D">
        <w:rPr>
          <w:rStyle w:val="Bodytext1"/>
          <w:i/>
        </w:rPr>
        <w:t>(</w:t>
      </w:r>
      <w:proofErr w:type="spellStart"/>
      <w:r w:rsidR="00125B30" w:rsidRPr="0004069D">
        <w:rPr>
          <w:rStyle w:val="Bodytext1"/>
          <w:i/>
        </w:rPr>
        <w:t>Einführungsgesetz</w:t>
      </w:r>
      <w:proofErr w:type="spellEnd"/>
      <w:r w:rsidR="00125B30" w:rsidRPr="0004069D">
        <w:rPr>
          <w:rStyle w:val="Bodytext1"/>
          <w:i/>
        </w:rPr>
        <w:t xml:space="preserve"> </w:t>
      </w:r>
      <w:proofErr w:type="spellStart"/>
      <w:r w:rsidR="00125B30" w:rsidRPr="0004069D">
        <w:rPr>
          <w:rStyle w:val="Bodytext1"/>
          <w:i/>
        </w:rPr>
        <w:t>zum</w:t>
      </w:r>
      <w:proofErr w:type="spellEnd"/>
      <w:r w:rsidR="00125B30" w:rsidRPr="0004069D">
        <w:rPr>
          <w:rStyle w:val="Bodytext1"/>
          <w:i/>
        </w:rPr>
        <w:t xml:space="preserve"> </w:t>
      </w:r>
      <w:proofErr w:type="spellStart"/>
      <w:r w:rsidR="00125B30" w:rsidRPr="0004069D">
        <w:rPr>
          <w:rStyle w:val="Bodytext1"/>
          <w:i/>
        </w:rPr>
        <w:t>Bürgerlichen</w:t>
      </w:r>
      <w:proofErr w:type="spellEnd"/>
      <w:r w:rsidR="00125B30" w:rsidRPr="0004069D">
        <w:rPr>
          <w:rStyle w:val="Bodytext1"/>
          <w:i/>
        </w:rPr>
        <w:t xml:space="preserve"> </w:t>
      </w:r>
      <w:proofErr w:type="spellStart"/>
      <w:r w:rsidR="00125B30" w:rsidRPr="0004069D">
        <w:rPr>
          <w:rStyle w:val="Bodytext1"/>
          <w:i/>
        </w:rPr>
        <w:t>Gesetzbuch</w:t>
      </w:r>
      <w:proofErr w:type="spellEnd"/>
      <w:r w:rsidR="00125B30" w:rsidRPr="0004069D">
        <w:rPr>
          <w:rStyle w:val="Bodytext1"/>
          <w:i/>
        </w:rPr>
        <w:t>)</w:t>
      </w:r>
      <w:r w:rsidR="00125B30" w:rsidRPr="0004069D">
        <w:rPr>
          <w:rStyle w:val="Bodytext1"/>
        </w:rPr>
        <w:t xml:space="preserve"> old version (see Article 69(3) of Regul</w:t>
      </w:r>
      <w:r w:rsidR="00385B2C" w:rsidRPr="0004069D">
        <w:rPr>
          <w:rStyle w:val="Bodytext1"/>
        </w:rPr>
        <w:t>ation 2019/1103 and Article 229 para.47</w:t>
      </w:r>
      <w:r w:rsidR="00125B30" w:rsidRPr="0004069D">
        <w:rPr>
          <w:rStyle w:val="Bodytext1"/>
        </w:rPr>
        <w:t xml:space="preserve"> second subparagraph, EGBG</w:t>
      </w:r>
      <w:r w:rsidR="00385B2C" w:rsidRPr="0004069D">
        <w:rPr>
          <w:rStyle w:val="Bodytext1"/>
        </w:rPr>
        <w:t>B). In accordance with art.</w:t>
      </w:r>
      <w:r w:rsidR="00125B30" w:rsidRPr="0004069D">
        <w:rPr>
          <w:rStyle w:val="Bodytext1"/>
        </w:rPr>
        <w:t xml:space="preserve"> 15(1) EGBGB old version, the </w:t>
      </w:r>
      <w:r w:rsidR="00385B2C" w:rsidRPr="0004069D">
        <w:rPr>
          <w:rStyle w:val="Bodytext1"/>
        </w:rPr>
        <w:t>matrimonial property effects</w:t>
      </w:r>
      <w:r w:rsidR="00125B30" w:rsidRPr="0004069D">
        <w:rPr>
          <w:rStyle w:val="Bodytext1"/>
        </w:rPr>
        <w:t xml:space="preserve"> of marriage are subject to the law applicable at the conclusion of the marriage for the general effects of marria</w:t>
      </w:r>
      <w:r w:rsidR="00385B2C" w:rsidRPr="0004069D">
        <w:rPr>
          <w:rStyle w:val="Bodytext1"/>
        </w:rPr>
        <w:t>ge. In accordance with art.</w:t>
      </w:r>
      <w:r w:rsidR="00125B30" w:rsidRPr="0004069D">
        <w:rPr>
          <w:rStyle w:val="Bodytext1"/>
        </w:rPr>
        <w:t xml:space="preserve"> 14(1)(1) EGBGB old version, this is the law of the State of which the spouses are nationals at the time of marriage. Therefore, if, at the time of marriage, the spouses both had Ukrai</w:t>
      </w:r>
      <w:r w:rsidR="00385B2C" w:rsidRPr="0004069D">
        <w:rPr>
          <w:rStyle w:val="Bodytext1"/>
        </w:rPr>
        <w:t>nian nationality, the German PIL</w:t>
      </w:r>
      <w:r w:rsidR="00125B30" w:rsidRPr="0004069D">
        <w:rPr>
          <w:rStyle w:val="Bodytext1"/>
        </w:rPr>
        <w:t xml:space="preserve"> refers to Ukrainian law. In accordance with </w:t>
      </w:r>
      <w:r w:rsidR="00385B2C" w:rsidRPr="0004069D">
        <w:rPr>
          <w:rStyle w:val="Bodytext1"/>
        </w:rPr>
        <w:t xml:space="preserve">art. </w:t>
      </w:r>
      <w:r w:rsidR="00125B30" w:rsidRPr="0004069D">
        <w:rPr>
          <w:rStyle w:val="Bodytext1"/>
        </w:rPr>
        <w:t>4(1)(1) of the EGBGB</w:t>
      </w:r>
      <w:r w:rsidR="00125B30" w:rsidRPr="0004069D">
        <w:rPr>
          <w:rStyle w:val="Bodytext1"/>
          <w:b/>
        </w:rPr>
        <w:t xml:space="preserve">, </w:t>
      </w:r>
      <w:r w:rsidR="00125B30" w:rsidRPr="0004069D">
        <w:rPr>
          <w:rStyle w:val="Bodytext1"/>
        </w:rPr>
        <w:t xml:space="preserve">this is a </w:t>
      </w:r>
      <w:r w:rsidR="00385B2C" w:rsidRPr="0004069D">
        <w:rPr>
          <w:rStyle w:val="Bodytext1"/>
          <w:b/>
        </w:rPr>
        <w:t xml:space="preserve">global </w:t>
      </w:r>
      <w:proofErr w:type="spellStart"/>
      <w:r w:rsidR="00C176E6" w:rsidRPr="0004069D">
        <w:rPr>
          <w:rStyle w:val="Bodytext1"/>
          <w:b/>
          <w:i/>
        </w:rPr>
        <w:t>renvoi</w:t>
      </w:r>
      <w:proofErr w:type="spellEnd"/>
      <w:r w:rsidR="00C176E6" w:rsidRPr="0004069D">
        <w:rPr>
          <w:rStyle w:val="Bodytext1"/>
          <w:b/>
        </w:rPr>
        <w:t xml:space="preserve"> </w:t>
      </w:r>
      <w:r w:rsidR="00385B2C" w:rsidRPr="0004069D">
        <w:rPr>
          <w:rStyle w:val="Bodytext1"/>
          <w:i/>
        </w:rPr>
        <w:t>(including the PIL</w:t>
      </w:r>
      <w:r w:rsidR="00125B30" w:rsidRPr="0004069D">
        <w:rPr>
          <w:rStyle w:val="Bodytext1"/>
          <w:b/>
          <w:i/>
        </w:rPr>
        <w:t>)</w:t>
      </w:r>
      <w:r w:rsidR="00125B30" w:rsidRPr="0004069D">
        <w:rPr>
          <w:rStyle w:val="Bodytext1"/>
          <w:i/>
        </w:rPr>
        <w:t>,</w:t>
      </w:r>
      <w:r w:rsidR="00125B30" w:rsidRPr="0004069D">
        <w:rPr>
          <w:rStyle w:val="Bodytext1"/>
        </w:rPr>
        <w:t xml:space="preserve"> so it is necessary to exa</w:t>
      </w:r>
      <w:r w:rsidR="00385B2C" w:rsidRPr="0004069D">
        <w:rPr>
          <w:rStyle w:val="Bodytext1"/>
        </w:rPr>
        <w:t>mine whether the Ukrainian PIL</w:t>
      </w:r>
      <w:r w:rsidR="00C176E6" w:rsidRPr="0004069D">
        <w:rPr>
          <w:rStyle w:val="Bodytext1"/>
        </w:rPr>
        <w:t xml:space="preserve"> accepts the </w:t>
      </w:r>
      <w:proofErr w:type="spellStart"/>
      <w:r w:rsidR="00C176E6" w:rsidRPr="0004069D">
        <w:rPr>
          <w:rStyle w:val="Bodytext1"/>
          <w:i/>
        </w:rPr>
        <w:t>renvoi</w:t>
      </w:r>
      <w:proofErr w:type="spellEnd"/>
      <w:r w:rsidR="00125B30" w:rsidRPr="0004069D">
        <w:rPr>
          <w:rStyle w:val="Bodytext1"/>
        </w:rPr>
        <w:t xml:space="preserve"> o</w:t>
      </w:r>
      <w:r w:rsidR="00C176E6" w:rsidRPr="0004069D">
        <w:rPr>
          <w:rStyle w:val="Bodytext1"/>
        </w:rPr>
        <w:t xml:space="preserve">r makes a single or a double </w:t>
      </w:r>
      <w:proofErr w:type="spellStart"/>
      <w:r w:rsidR="00C176E6" w:rsidRPr="0004069D">
        <w:rPr>
          <w:rStyle w:val="Bodytext1"/>
          <w:i/>
        </w:rPr>
        <w:t>renvoi</w:t>
      </w:r>
      <w:proofErr w:type="spellEnd"/>
      <w:r w:rsidR="00125B30" w:rsidRPr="0004069D">
        <w:rPr>
          <w:rStyle w:val="Bodytext1"/>
          <w:i/>
        </w:rPr>
        <w:t>.</w:t>
      </w:r>
      <w:r w:rsidR="00125B30" w:rsidRPr="0004069D">
        <w:rPr>
          <w:rStyle w:val="Bodytext1"/>
        </w:rPr>
        <w:t xml:space="preserve"> In this respect, the</w:t>
      </w:r>
      <w:r w:rsidR="00385B2C" w:rsidRPr="0004069D">
        <w:rPr>
          <w:rStyle w:val="Bodytext1"/>
        </w:rPr>
        <w:t xml:space="preserve"> provisions of the Ukrainian PIL</w:t>
      </w:r>
      <w:r w:rsidR="00125B30" w:rsidRPr="0004069D">
        <w:rPr>
          <w:rStyle w:val="Bodytext1"/>
        </w:rPr>
        <w:t xml:space="preserve"> remain relevant for marriages subject to Regulation 1103/2019.</w:t>
      </w:r>
    </w:p>
    <w:p w14:paraId="5CF11268" w14:textId="77777777" w:rsidR="000C7DB8" w:rsidRPr="0004069D" w:rsidRDefault="00125B30">
      <w:pPr>
        <w:pStyle w:val="Bodytext10"/>
        <w:spacing w:line="223" w:lineRule="auto"/>
        <w:jc w:val="both"/>
      </w:pPr>
      <w:r w:rsidRPr="0004069D">
        <w:rPr>
          <w:rStyle w:val="Bodytext1"/>
        </w:rPr>
        <w:t>In Ukraine, private international law is governed by the Law on Private International Law of 23 June 2005. It also includes international family law, in particular the international law of matrimonial regimes.</w:t>
      </w:r>
    </w:p>
    <w:p w14:paraId="275C07C9" w14:textId="77777777" w:rsidR="000C7DB8" w:rsidRPr="0004069D" w:rsidRDefault="00125B30">
      <w:pPr>
        <w:pStyle w:val="Bodytext10"/>
        <w:spacing w:line="221" w:lineRule="auto"/>
        <w:jc w:val="both"/>
      </w:pPr>
      <w:r w:rsidRPr="0004069D">
        <w:rPr>
          <w:rStyle w:val="Bodytext1"/>
        </w:rPr>
        <w:t>In accordanc</w:t>
      </w:r>
      <w:r w:rsidR="00C176E6" w:rsidRPr="0004069D">
        <w:rPr>
          <w:rStyle w:val="Bodytext1"/>
        </w:rPr>
        <w:t>e with Article 61 (1) of the law</w:t>
      </w:r>
      <w:r w:rsidRPr="0004069D">
        <w:rPr>
          <w:rStyle w:val="Bodytext1"/>
        </w:rPr>
        <w:t>, the spouses may first choose the law</w:t>
      </w:r>
      <w:r w:rsidR="00C176E6" w:rsidRPr="0004069D">
        <w:rPr>
          <w:rStyle w:val="Bodytext1"/>
        </w:rPr>
        <w:t xml:space="preserve"> applicable to the matrimonial property effects of marriage</w:t>
      </w:r>
      <w:r w:rsidRPr="0004069D">
        <w:rPr>
          <w:rStyle w:val="Bodytext1"/>
          <w:b/>
        </w:rPr>
        <w:t xml:space="preserve">. </w:t>
      </w:r>
      <w:r w:rsidRPr="0004069D">
        <w:rPr>
          <w:rStyle w:val="Bodytext1"/>
        </w:rPr>
        <w:t xml:space="preserve">In that regard, Ukrainian law therefore knows, like German law, the possibility of </w:t>
      </w:r>
      <w:r w:rsidRPr="0004069D">
        <w:rPr>
          <w:rStyle w:val="Bodytext1"/>
          <w:b/>
        </w:rPr>
        <w:t>choosing the</w:t>
      </w:r>
      <w:r w:rsidRPr="0004069D">
        <w:rPr>
          <w:rStyle w:val="Bodytext1"/>
        </w:rPr>
        <w:t xml:space="preserve"> </w:t>
      </w:r>
      <w:r w:rsidRPr="0004069D">
        <w:rPr>
          <w:rStyle w:val="Bodytext1"/>
          <w:b/>
        </w:rPr>
        <w:t xml:space="preserve">law applicable to the </w:t>
      </w:r>
      <w:r w:rsidRPr="0004069D">
        <w:rPr>
          <w:rStyle w:val="Bodytext1"/>
        </w:rPr>
        <w:t>matrimonial property regime.</w:t>
      </w:r>
    </w:p>
    <w:p w14:paraId="5199D2A6" w14:textId="77777777" w:rsidR="000C7DB8" w:rsidRPr="0004069D" w:rsidRDefault="00125B30">
      <w:pPr>
        <w:pStyle w:val="Bodytext10"/>
        <w:spacing w:line="218" w:lineRule="auto"/>
        <w:jc w:val="both"/>
        <w:rPr>
          <w:rStyle w:val="Bodytext1"/>
        </w:rPr>
      </w:pPr>
      <w:r w:rsidRPr="0004069D">
        <w:rPr>
          <w:rStyle w:val="Bodytext1"/>
        </w:rPr>
        <w:t xml:space="preserve">If the spouses have not chosen the applicable law, the </w:t>
      </w:r>
      <w:r w:rsidR="00C176E6" w:rsidRPr="0004069D">
        <w:rPr>
          <w:rStyle w:val="Bodytext1"/>
        </w:rPr>
        <w:t>matrimonial property effects</w:t>
      </w:r>
      <w:r w:rsidRPr="0004069D">
        <w:rPr>
          <w:rStyle w:val="Bodytext1"/>
        </w:rPr>
        <w:t xml:space="preserve"> of marriage are </w:t>
      </w:r>
      <w:r w:rsidRPr="0004069D">
        <w:rPr>
          <w:rStyle w:val="Bodytext1"/>
        </w:rPr>
        <w:t>gove</w:t>
      </w:r>
      <w:r w:rsidR="00C176E6" w:rsidRPr="0004069D">
        <w:rPr>
          <w:rStyle w:val="Bodytext1"/>
        </w:rPr>
        <w:t>rned by article 61(3)</w:t>
      </w:r>
      <w:r w:rsidRPr="0004069D">
        <w:rPr>
          <w:rStyle w:val="Bodytext1"/>
        </w:rPr>
        <w:t xml:space="preserve"> of the Ukrainian Law on Private International Law, which governs the general effects of marriage. In accordance with Article 60</w:t>
      </w:r>
      <w:r w:rsidR="00C176E6" w:rsidRPr="0004069D">
        <w:rPr>
          <w:rStyle w:val="Bodytext1"/>
        </w:rPr>
        <w:t xml:space="preserve"> </w:t>
      </w:r>
      <w:r w:rsidRPr="0004069D">
        <w:rPr>
          <w:rStyle w:val="Bodytext1"/>
        </w:rPr>
        <w:t>(1)</w:t>
      </w:r>
      <w:r w:rsidR="00C176E6" w:rsidRPr="0004069D">
        <w:rPr>
          <w:rStyle w:val="Bodytext1"/>
        </w:rPr>
        <w:t xml:space="preserve"> of the l</w:t>
      </w:r>
      <w:r w:rsidRPr="0004069D">
        <w:rPr>
          <w:rStyle w:val="Bodytext1"/>
        </w:rPr>
        <w:t xml:space="preserve">aw, </w:t>
      </w:r>
      <w:r w:rsidR="00C176E6" w:rsidRPr="0004069D">
        <w:rPr>
          <w:rStyle w:val="Bodytext1"/>
        </w:rPr>
        <w:t>the effects of marriage are</w:t>
      </w:r>
      <w:r w:rsidRPr="0004069D">
        <w:rPr>
          <w:rStyle w:val="Bodytext1"/>
        </w:rPr>
        <w:t xml:space="preserve"> in turn governed by the common personal status of the spouses. The personal status under Ukrainian law, in accordance with article 16 of the Ukrainian </w:t>
      </w:r>
      <w:r w:rsidR="00C176E6" w:rsidRPr="0004069D">
        <w:rPr>
          <w:rStyle w:val="Bodytext1"/>
        </w:rPr>
        <w:t>Law on Private International Law</w:t>
      </w:r>
      <w:r w:rsidRPr="0004069D">
        <w:rPr>
          <w:rStyle w:val="Bodytext1"/>
        </w:rPr>
        <w:t xml:space="preserve">, is the law of the State of which the person concerned is a national. </w:t>
      </w:r>
    </w:p>
    <w:p w14:paraId="66F31B0C" w14:textId="77777777" w:rsidR="000C7DB8" w:rsidRPr="0004069D" w:rsidRDefault="00C176E6">
      <w:pPr>
        <w:pStyle w:val="Bodytext10"/>
        <w:spacing w:line="218" w:lineRule="auto"/>
        <w:jc w:val="both"/>
      </w:pPr>
      <w:r w:rsidRPr="0004069D">
        <w:rPr>
          <w:rStyle w:val="Bodytext1"/>
        </w:rPr>
        <w:t>T</w:t>
      </w:r>
      <w:r w:rsidR="00125B30" w:rsidRPr="0004069D">
        <w:rPr>
          <w:rStyle w:val="Bodytext1"/>
        </w:rPr>
        <w:t xml:space="preserve">herefore, Ukrainian law does not follow the Soviet law of the time, which was based on the right of residence of the spouses. In the same way </w:t>
      </w:r>
      <w:r w:rsidR="008A47F7" w:rsidRPr="0004069D">
        <w:rPr>
          <w:rStyle w:val="Bodytext1"/>
        </w:rPr>
        <w:t xml:space="preserve">as in the German autonomous PIL </w:t>
      </w:r>
      <w:r w:rsidR="00125B30" w:rsidRPr="0004069D">
        <w:rPr>
          <w:rStyle w:val="Bodytext1"/>
        </w:rPr>
        <w:t xml:space="preserve">applicable until 29 January 2019, the common law of spouses from the Ukrainian point of view is </w:t>
      </w:r>
      <w:r w:rsidR="00125B30" w:rsidRPr="0004069D">
        <w:rPr>
          <w:rStyle w:val="Bodytext1"/>
          <w:b/>
        </w:rPr>
        <w:t xml:space="preserve">primarily the common national law of both spouses. </w:t>
      </w:r>
      <w:r w:rsidR="008A47F7" w:rsidRPr="0004069D">
        <w:rPr>
          <w:rStyle w:val="Bodytext1"/>
        </w:rPr>
        <w:t>Unlike the German PIL</w:t>
      </w:r>
      <w:r w:rsidR="00125B30" w:rsidRPr="0004069D">
        <w:rPr>
          <w:rStyle w:val="Bodytext1"/>
        </w:rPr>
        <w:t xml:space="preserve">, however, the </w:t>
      </w:r>
      <w:r w:rsidR="008A47F7" w:rsidRPr="0004069D">
        <w:rPr>
          <w:rStyle w:val="Bodytext1"/>
        </w:rPr>
        <w:t xml:space="preserve">property regime is </w:t>
      </w:r>
      <w:r w:rsidR="008A47F7" w:rsidRPr="0004069D">
        <w:rPr>
          <w:rStyle w:val="Bodytext1"/>
          <w:b/>
        </w:rPr>
        <w:t xml:space="preserve">changeable </w:t>
      </w:r>
      <w:r w:rsidR="00125B30" w:rsidRPr="0004069D">
        <w:rPr>
          <w:rStyle w:val="Bodytext1"/>
        </w:rPr>
        <w:t xml:space="preserve">in Ukraine. A change in the nationality of the spouses therefore also entails a change in the property regime. If the spouses have not agreed a common nationality and </w:t>
      </w:r>
      <w:r w:rsidR="008A47F7" w:rsidRPr="0004069D">
        <w:rPr>
          <w:rStyle w:val="Bodytext1"/>
        </w:rPr>
        <w:t xml:space="preserve">made </w:t>
      </w:r>
      <w:r w:rsidR="00125B30" w:rsidRPr="0004069D">
        <w:rPr>
          <w:rStyle w:val="Bodytext1"/>
        </w:rPr>
        <w:t>no choice of applicable law, the applicable law shall be that of the State in which they currently reside. In that regard, a joint move</w:t>
      </w:r>
      <w:r w:rsidR="00927BE2" w:rsidRPr="0004069D">
        <w:rPr>
          <w:rStyle w:val="Bodytext1"/>
        </w:rPr>
        <w:t xml:space="preserve"> on the ground of a new residence</w:t>
      </w:r>
      <w:r w:rsidR="00125B30" w:rsidRPr="0004069D">
        <w:rPr>
          <w:rStyle w:val="Bodytext1"/>
        </w:rPr>
        <w:t xml:space="preserve"> (see in this regard below) would therefore already lead t</w:t>
      </w:r>
      <w:r w:rsidR="008A47F7" w:rsidRPr="0004069D">
        <w:rPr>
          <w:rStyle w:val="Bodytext1"/>
        </w:rPr>
        <w:t>o a change of the applicable law</w:t>
      </w:r>
      <w:r w:rsidR="00125B30" w:rsidRPr="0004069D">
        <w:rPr>
          <w:rStyle w:val="Bodytext1"/>
        </w:rPr>
        <w:t>. That could also l</w:t>
      </w:r>
      <w:r w:rsidR="00927BE2" w:rsidRPr="0004069D">
        <w:rPr>
          <w:rStyle w:val="Bodytext1"/>
        </w:rPr>
        <w:t>ead to a considerable</w:t>
      </w:r>
      <w:r w:rsidR="00927BE2" w:rsidRPr="0004069D">
        <w:rPr>
          <w:rStyle w:val="Bodytext1"/>
          <w:i/>
        </w:rPr>
        <w:t xml:space="preserve"> </w:t>
      </w:r>
      <w:proofErr w:type="spellStart"/>
      <w:r w:rsidR="00927BE2" w:rsidRPr="0004069D">
        <w:rPr>
          <w:rStyle w:val="Bodytext1"/>
          <w:i/>
        </w:rPr>
        <w:t>renvoi</w:t>
      </w:r>
      <w:proofErr w:type="spellEnd"/>
      <w:r w:rsidR="00927BE2" w:rsidRPr="0004069D">
        <w:rPr>
          <w:rStyle w:val="Bodytext1"/>
        </w:rPr>
        <w:t xml:space="preserve"> </w:t>
      </w:r>
      <w:r w:rsidR="00125B30" w:rsidRPr="0004069D">
        <w:rPr>
          <w:rStyle w:val="Bodytext1"/>
        </w:rPr>
        <w:t>from the German point of view, in accordance with the second sentence of Paragraph 4</w:t>
      </w:r>
      <w:r w:rsidR="00927BE2" w:rsidRPr="0004069D">
        <w:rPr>
          <w:rStyle w:val="Bodytext1"/>
        </w:rPr>
        <w:t xml:space="preserve"> </w:t>
      </w:r>
      <w:r w:rsidR="00125B30" w:rsidRPr="0004069D">
        <w:rPr>
          <w:rStyle w:val="Bodytext1"/>
        </w:rPr>
        <w:t>(1) EGBGB.</w:t>
      </w:r>
    </w:p>
    <w:p w14:paraId="17618A08" w14:textId="77777777" w:rsidR="000C7DB8" w:rsidRPr="0004069D" w:rsidRDefault="00125B30">
      <w:pPr>
        <w:pStyle w:val="Bodytext10"/>
        <w:spacing w:line="218" w:lineRule="auto"/>
        <w:jc w:val="both"/>
      </w:pPr>
      <w:r w:rsidRPr="0004069D">
        <w:rPr>
          <w:rStyle w:val="Bodytext1"/>
        </w:rPr>
        <w:t>A translation of the relevant</w:t>
      </w:r>
      <w:r w:rsidR="00927BE2" w:rsidRPr="0004069D">
        <w:rPr>
          <w:rStyle w:val="Bodytext1"/>
        </w:rPr>
        <w:t xml:space="preserve"> provisions of the Ukrainian PIL</w:t>
      </w:r>
      <w:r w:rsidRPr="0004069D">
        <w:rPr>
          <w:rStyle w:val="Bodytext1"/>
        </w:rPr>
        <w:t xml:space="preserve"> was published by </w:t>
      </w:r>
      <w:r w:rsidRPr="0004069D">
        <w:rPr>
          <w:rStyle w:val="Bodytext1"/>
          <w:i/>
        </w:rPr>
        <w:t>Albertini</w:t>
      </w:r>
      <w:r w:rsidRPr="0004069D">
        <w:rPr>
          <w:rStyle w:val="Bodytext1"/>
        </w:rPr>
        <w:t xml:space="preserve"> (</w:t>
      </w:r>
      <w:proofErr w:type="spellStart"/>
      <w:r w:rsidRPr="0004069D">
        <w:rPr>
          <w:rStyle w:val="Bodytext1"/>
        </w:rPr>
        <w:t>StAZ</w:t>
      </w:r>
      <w:proofErr w:type="spellEnd"/>
      <w:r w:rsidRPr="0004069D">
        <w:rPr>
          <w:rStyle w:val="Bodytext1"/>
        </w:rPr>
        <w:t xml:space="preserve"> 2006, 146). The reference is available </w:t>
      </w:r>
      <w:r w:rsidR="00927BE2" w:rsidRPr="0004069D">
        <w:rPr>
          <w:rStyle w:val="Bodytext1"/>
        </w:rPr>
        <w:t xml:space="preserve">at </w:t>
      </w:r>
      <w:r w:rsidRPr="0004069D">
        <w:rPr>
          <w:rStyle w:val="Bodytext1"/>
        </w:rPr>
        <w:t xml:space="preserve">the literature research department of the </w:t>
      </w:r>
      <w:proofErr w:type="spellStart"/>
      <w:r w:rsidRPr="0004069D">
        <w:rPr>
          <w:rStyle w:val="Bodytext1"/>
          <w:i/>
        </w:rPr>
        <w:t>Deutsches</w:t>
      </w:r>
      <w:proofErr w:type="spellEnd"/>
      <w:r w:rsidRPr="0004069D">
        <w:rPr>
          <w:rStyle w:val="Bodytext1"/>
          <w:i/>
        </w:rPr>
        <w:t xml:space="preserve"> </w:t>
      </w:r>
      <w:proofErr w:type="spellStart"/>
      <w:r w:rsidRPr="0004069D">
        <w:rPr>
          <w:rStyle w:val="Bodytext1"/>
          <w:i/>
        </w:rPr>
        <w:t>Notarinstitut</w:t>
      </w:r>
      <w:proofErr w:type="spellEnd"/>
      <w:r w:rsidRPr="0004069D">
        <w:rPr>
          <w:rStyle w:val="Bodytext1"/>
          <w:i/>
        </w:rPr>
        <w:t>.</w:t>
      </w:r>
    </w:p>
    <w:p w14:paraId="4FAAE605" w14:textId="32B29CB1" w:rsidR="00CC2B0A" w:rsidRPr="0004069D" w:rsidRDefault="00CC2B0A" w:rsidP="00973FD7">
      <w:pPr>
        <w:pStyle w:val="Heading410"/>
        <w:keepNext/>
        <w:keepLines/>
        <w:numPr>
          <w:ilvl w:val="0"/>
          <w:numId w:val="4"/>
        </w:numPr>
        <w:tabs>
          <w:tab w:val="left" w:pos="284"/>
        </w:tabs>
        <w:spacing w:line="209" w:lineRule="auto"/>
        <w:jc w:val="both"/>
      </w:pPr>
      <w:bookmarkStart w:id="5" w:name="bookmark10"/>
      <w:r w:rsidRPr="0004069D">
        <w:rPr>
          <w:rStyle w:val="Heading41"/>
          <w:b/>
          <w:color w:val="auto"/>
        </w:rPr>
        <w:t xml:space="preserve">What is the regulation of </w:t>
      </w:r>
      <w:r w:rsidR="0004069D" w:rsidRPr="0004069D">
        <w:rPr>
          <w:rStyle w:val="Heading41"/>
          <w:b/>
          <w:color w:val="auto"/>
        </w:rPr>
        <w:t xml:space="preserve">intestate </w:t>
      </w:r>
      <w:r w:rsidRPr="0004069D">
        <w:rPr>
          <w:rStyle w:val="Heading41"/>
          <w:b/>
          <w:color w:val="auto"/>
        </w:rPr>
        <w:t xml:space="preserve">succession </w:t>
      </w:r>
      <w:r w:rsidR="0004069D" w:rsidRPr="0004069D">
        <w:rPr>
          <w:rStyle w:val="Heading41"/>
          <w:b/>
          <w:color w:val="auto"/>
        </w:rPr>
        <w:softHyphen/>
        <w:t>in Ukraine?</w:t>
      </w:r>
    </w:p>
    <w:p w14:paraId="6A473F2E" w14:textId="366D1379" w:rsidR="00CC2B0A" w:rsidRPr="0004069D" w:rsidRDefault="00CC2B0A" w:rsidP="00CC2B0A">
      <w:pPr>
        <w:pStyle w:val="Bodytext10"/>
        <w:spacing w:after="240" w:line="230" w:lineRule="auto"/>
        <w:jc w:val="both"/>
      </w:pPr>
      <w:r w:rsidRPr="0004069D">
        <w:rPr>
          <w:rStyle w:val="Bodytext1"/>
        </w:rPr>
        <w:t>On the basis of the Ukrainian Civil Code of 16 January 2003, the children of the deceased, his</w:t>
      </w:r>
      <w:r w:rsidR="00973FD7" w:rsidRPr="0004069D">
        <w:rPr>
          <w:rStyle w:val="Bodytext1"/>
        </w:rPr>
        <w:t xml:space="preserve"> or her</w:t>
      </w:r>
      <w:r w:rsidRPr="0004069D">
        <w:rPr>
          <w:rStyle w:val="Bodytext1"/>
        </w:rPr>
        <w:t xml:space="preserve"> spouse and the parents are the heirs of the first degree. They inherit in equal shares. In the second degree, the deceased’s siblings and grandparents inherit. This applies only in cases where first-degree heirs have not survived. As a first-degree heir, the spouse therefore excludes siblings</w:t>
      </w:r>
      <w:r w:rsidR="0004069D" w:rsidRPr="0004069D">
        <w:rPr>
          <w:rStyle w:val="Bodytext1"/>
        </w:rPr>
        <w:t xml:space="preserve"> and grandparents from the intestate</w:t>
      </w:r>
      <w:r w:rsidRPr="0004069D">
        <w:rPr>
          <w:rStyle w:val="Bodytext1"/>
        </w:rPr>
        <w:t xml:space="preserve"> succession. Ukrainian </w:t>
      </w:r>
      <w:r w:rsidR="00D727A0" w:rsidRPr="0004069D">
        <w:rPr>
          <w:rStyle w:val="Bodytext1"/>
        </w:rPr>
        <w:t xml:space="preserve"> </w:t>
      </w:r>
      <w:r w:rsidRPr="0004069D">
        <w:rPr>
          <w:rStyle w:val="Bodytext1"/>
        </w:rPr>
        <w:t xml:space="preserve">succession law does not </w:t>
      </w:r>
      <w:r w:rsidRPr="0004069D">
        <w:rPr>
          <w:rStyle w:val="Bodytext1"/>
        </w:rPr>
        <w:softHyphen/>
        <w:t xml:space="preserve">distinguish between </w:t>
      </w:r>
      <w:r w:rsidRPr="0004069D">
        <w:rPr>
          <w:rStyle w:val="Bodytext1"/>
        </w:rPr>
        <w:softHyphen/>
        <w:t>legitimate, natural or adopted descendants. Registered partnership and same-sex marriage are not known under Ukrainian law. Therefore,</w:t>
      </w:r>
      <w:r w:rsidRPr="0004069D">
        <w:rPr>
          <w:rStyle w:val="Bodytext1"/>
        </w:rPr>
        <w:softHyphen/>
        <w:t xml:space="preserve"> under Ukrainian law, such </w:t>
      </w:r>
      <w:r w:rsidR="002950FD" w:rsidRPr="0004069D">
        <w:rPr>
          <w:rStyle w:val="Bodytext1"/>
        </w:rPr>
        <w:t>relationships</w:t>
      </w:r>
      <w:r w:rsidR="0004069D" w:rsidRPr="0004069D">
        <w:rPr>
          <w:rStyle w:val="Bodytext1"/>
        </w:rPr>
        <w:t xml:space="preserve"> do not create intestate</w:t>
      </w:r>
      <w:r w:rsidRPr="0004069D">
        <w:rPr>
          <w:rStyle w:val="Bodytext1"/>
        </w:rPr>
        <w:t xml:space="preserve"> succession right</w:t>
      </w:r>
      <w:r w:rsidR="0004069D" w:rsidRPr="0004069D">
        <w:rPr>
          <w:rStyle w:val="Bodytext1"/>
        </w:rPr>
        <w:t>s</w:t>
      </w:r>
      <w:r w:rsidRPr="0004069D">
        <w:rPr>
          <w:rStyle w:val="Bodytext1"/>
        </w:rPr>
        <w:t xml:space="preserve"> </w:t>
      </w:r>
      <w:r w:rsidR="0004069D" w:rsidRPr="0004069D">
        <w:rPr>
          <w:rStyle w:val="Bodytext1"/>
        </w:rPr>
        <w:t>(on the</w:t>
      </w:r>
      <w:r w:rsidRPr="0004069D">
        <w:rPr>
          <w:rStyle w:val="Bodytext1"/>
        </w:rPr>
        <w:t xml:space="preserve"> </w:t>
      </w:r>
      <w:r w:rsidR="0004069D" w:rsidRPr="0004069D">
        <w:rPr>
          <w:rStyle w:val="Bodytext1"/>
        </w:rPr>
        <w:t xml:space="preserve">non-matrimonial </w:t>
      </w:r>
      <w:r w:rsidR="002950FD" w:rsidRPr="0004069D">
        <w:rPr>
          <w:rStyle w:val="Bodytext1"/>
        </w:rPr>
        <w:t>relationship</w:t>
      </w:r>
      <w:r w:rsidRPr="0004069D">
        <w:rPr>
          <w:rStyle w:val="Bodytext1"/>
        </w:rPr>
        <w:t xml:space="preserve"> in Ukraine, </w:t>
      </w:r>
      <w:proofErr w:type="spellStart"/>
      <w:r w:rsidRPr="0004069D">
        <w:rPr>
          <w:rStyle w:val="Bodytext1"/>
        </w:rPr>
        <w:t>Ishyna</w:t>
      </w:r>
      <w:proofErr w:type="spellEnd"/>
      <w:r w:rsidRPr="0004069D">
        <w:rPr>
          <w:rStyle w:val="Bodytext1"/>
        </w:rPr>
        <w:t xml:space="preserve">, Die </w:t>
      </w:r>
      <w:proofErr w:type="spellStart"/>
      <w:r w:rsidRPr="0004069D">
        <w:rPr>
          <w:rStyle w:val="Bodytext1"/>
        </w:rPr>
        <w:t>nichteheliche</w:t>
      </w:r>
      <w:proofErr w:type="spellEnd"/>
      <w:r w:rsidRPr="0004069D">
        <w:rPr>
          <w:rStyle w:val="Bodytext1"/>
        </w:rPr>
        <w:t xml:space="preserve"> </w:t>
      </w:r>
      <w:proofErr w:type="spellStart"/>
      <w:r w:rsidRPr="0004069D">
        <w:rPr>
          <w:rStyle w:val="Bodytext1"/>
        </w:rPr>
        <w:t>Lebensgemeinschaft</w:t>
      </w:r>
      <w:proofErr w:type="spellEnd"/>
      <w:r w:rsidRPr="0004069D">
        <w:rPr>
          <w:rStyle w:val="Bodytext1"/>
        </w:rPr>
        <w:t xml:space="preserve"> in der Ukraine und in Deutschland, 2014, passim).</w:t>
      </w:r>
    </w:p>
    <w:bookmarkEnd w:id="5"/>
    <w:p w14:paraId="0EAD5FA1" w14:textId="5CFF1BCC" w:rsidR="002950FD" w:rsidRPr="0004069D" w:rsidRDefault="002950FD" w:rsidP="002950FD">
      <w:pPr>
        <w:pStyle w:val="Bodytext10"/>
        <w:numPr>
          <w:ilvl w:val="0"/>
          <w:numId w:val="4"/>
        </w:numPr>
        <w:tabs>
          <w:tab w:val="left" w:pos="289"/>
        </w:tabs>
        <w:spacing w:line="221" w:lineRule="auto"/>
        <w:ind w:left="300" w:hanging="300"/>
        <w:jc w:val="both"/>
        <w:rPr>
          <w:b/>
          <w:bCs/>
        </w:rPr>
      </w:pPr>
      <w:r w:rsidRPr="0004069D">
        <w:rPr>
          <w:b/>
          <w:bCs/>
        </w:rPr>
        <w:t>What are the formal requirements</w:t>
      </w:r>
      <w:r w:rsidR="005F16C8" w:rsidRPr="0004069D">
        <w:rPr>
          <w:b/>
          <w:bCs/>
        </w:rPr>
        <w:t xml:space="preserve"> that wills must meet</w:t>
      </w:r>
      <w:r w:rsidRPr="0004069D">
        <w:rPr>
          <w:b/>
          <w:bCs/>
        </w:rPr>
        <w:t xml:space="preserve"> </w:t>
      </w:r>
      <w:r w:rsidR="005F16C8" w:rsidRPr="0004069D">
        <w:rPr>
          <w:b/>
          <w:bCs/>
        </w:rPr>
        <w:t>under</w:t>
      </w:r>
      <w:r w:rsidRPr="0004069D">
        <w:rPr>
          <w:b/>
          <w:bCs/>
        </w:rPr>
        <w:t xml:space="preserve"> Ukrainian law and what </w:t>
      </w:r>
      <w:r w:rsidRPr="0004069D">
        <w:rPr>
          <w:b/>
          <w:bCs/>
        </w:rPr>
        <w:lastRenderedPageBreak/>
        <w:t>types</w:t>
      </w:r>
      <w:r w:rsidR="005F16C8" w:rsidRPr="0004069D">
        <w:rPr>
          <w:b/>
          <w:bCs/>
        </w:rPr>
        <w:t xml:space="preserve"> </w:t>
      </w:r>
      <w:r w:rsidRPr="0004069D">
        <w:rPr>
          <w:b/>
          <w:bCs/>
        </w:rPr>
        <w:t>of wills are permitted?</w:t>
      </w:r>
    </w:p>
    <w:p w14:paraId="2C3A6773" w14:textId="77777777" w:rsidR="002950FD" w:rsidRPr="00423C9E" w:rsidRDefault="002950FD" w:rsidP="002950FD">
      <w:pPr>
        <w:pStyle w:val="Bodytext10"/>
        <w:spacing w:line="218" w:lineRule="auto"/>
        <w:jc w:val="both"/>
      </w:pPr>
    </w:p>
    <w:p w14:paraId="579F76F3" w14:textId="3C5EBFA7" w:rsidR="002950FD" w:rsidRPr="00423C9E" w:rsidRDefault="002950FD" w:rsidP="002950FD">
      <w:pPr>
        <w:pStyle w:val="Bodytext10"/>
        <w:spacing w:line="218" w:lineRule="auto"/>
        <w:jc w:val="both"/>
      </w:pPr>
      <w:r w:rsidRPr="00423C9E">
        <w:t>The only form of will recognized by Ukrainian law is the public (notarial) form. Unlike German law, Ukrainian law d</w:t>
      </w:r>
      <w:r w:rsidR="0004069D" w:rsidRPr="00423C9E">
        <w:t xml:space="preserve">oes not necessarily require an </w:t>
      </w:r>
      <w:r w:rsidRPr="00423C9E">
        <w:t>authentication when the will is drafted. The testator may draw up and sign the will himself</w:t>
      </w:r>
      <w:r w:rsidR="00DA3469" w:rsidRPr="00423C9E">
        <w:t xml:space="preserve"> or herself</w:t>
      </w:r>
      <w:r w:rsidRPr="00423C9E">
        <w:t xml:space="preserve"> and hand it over to the notary, open or closed. </w:t>
      </w:r>
      <w:r w:rsidR="00DA3469" w:rsidRPr="00423C9E">
        <w:t>A</w:t>
      </w:r>
      <w:r w:rsidRPr="00423C9E">
        <w:t xml:space="preserve"> handwritten signature is required in both cases, but not a handwritten version of the text.</w:t>
      </w:r>
    </w:p>
    <w:p w14:paraId="1BA32FC1" w14:textId="1A891C69" w:rsidR="002950FD" w:rsidRPr="00423C9E" w:rsidRDefault="002950FD" w:rsidP="002950FD">
      <w:pPr>
        <w:pStyle w:val="Bodytext10"/>
        <w:spacing w:line="218" w:lineRule="auto"/>
        <w:jc w:val="both"/>
      </w:pPr>
      <w:r w:rsidRPr="00423C9E">
        <w:t xml:space="preserve">In addition to the unilateral will, Ukrainian law allows joint wills of the spouses in respect of their common property, in accordance with Article 1243 of the Ukrainian Civil Code. This does not affect the testator’s own assets, in accordance with the Ukrainian property regime of the </w:t>
      </w:r>
      <w:r w:rsidR="0082505A" w:rsidRPr="00423C9E">
        <w:t>community of assets</w:t>
      </w:r>
      <w:r w:rsidRPr="00423C9E">
        <w:t>. The will therefore covers</w:t>
      </w:r>
      <w:r w:rsidR="00DA3469" w:rsidRPr="00423C9E">
        <w:t xml:space="preserve"> </w:t>
      </w:r>
      <w:r w:rsidRPr="00423C9E">
        <w:t>only the common property of the spouses wh</w:t>
      </w:r>
      <w:r w:rsidR="0082505A" w:rsidRPr="00423C9E">
        <w:t>ich</w:t>
      </w:r>
      <w:r w:rsidRPr="00423C9E">
        <w:t xml:space="preserve"> form part of the</w:t>
      </w:r>
      <w:r w:rsidR="009C3378" w:rsidRPr="00423C9E">
        <w:t xml:space="preserve"> joint property</w:t>
      </w:r>
      <w:r w:rsidRPr="00423C9E">
        <w:t xml:space="preserve">. </w:t>
      </w:r>
    </w:p>
    <w:p w14:paraId="5E6BD308" w14:textId="14AF0BE5" w:rsidR="002950FD" w:rsidRPr="00423C9E" w:rsidRDefault="002950FD" w:rsidP="002950FD">
      <w:pPr>
        <w:pStyle w:val="Bodytext10"/>
        <w:spacing w:line="218" w:lineRule="auto"/>
        <w:jc w:val="both"/>
      </w:pPr>
      <w:r w:rsidRPr="00423C9E">
        <w:t>In the will, heirs (including substitute</w:t>
      </w:r>
      <w:r w:rsidR="009C3378" w:rsidRPr="00423C9E">
        <w:t>d</w:t>
      </w:r>
      <w:r w:rsidRPr="00423C9E">
        <w:t xml:space="preserve"> heirs) may be designated, legacies may be ordered and an executor</w:t>
      </w:r>
      <w:r w:rsidR="00FF347F" w:rsidRPr="00423C9E">
        <w:t xml:space="preserve"> </w:t>
      </w:r>
      <w:r w:rsidRPr="00423C9E">
        <w:t xml:space="preserve">may be appointed. Ukrainian law </w:t>
      </w:r>
      <w:r w:rsidRPr="00423C9E">
        <w:rPr>
          <w:b/>
          <w:bCs/>
        </w:rPr>
        <w:t>do</w:t>
      </w:r>
      <w:r w:rsidR="009C3378" w:rsidRPr="00423C9E">
        <w:rPr>
          <w:b/>
          <w:bCs/>
        </w:rPr>
        <w:t xml:space="preserve">es not </w:t>
      </w:r>
      <w:proofErr w:type="spellStart"/>
      <w:r w:rsidR="009C3378" w:rsidRPr="00423C9E">
        <w:rPr>
          <w:b/>
          <w:bCs/>
        </w:rPr>
        <w:t>recognise</w:t>
      </w:r>
      <w:proofErr w:type="spellEnd"/>
      <w:r w:rsidR="009C3378" w:rsidRPr="00423C9E">
        <w:rPr>
          <w:b/>
          <w:bCs/>
        </w:rPr>
        <w:t xml:space="preserve"> the  provisional succession</w:t>
      </w:r>
      <w:r w:rsidRPr="00423C9E">
        <w:rPr>
          <w:b/>
          <w:bCs/>
        </w:rPr>
        <w:t xml:space="preserve"> or </w:t>
      </w:r>
      <w:r w:rsidR="009C3378" w:rsidRPr="00423C9E">
        <w:rPr>
          <w:b/>
          <w:bCs/>
        </w:rPr>
        <w:t xml:space="preserve">the </w:t>
      </w:r>
      <w:r w:rsidRPr="00423C9E">
        <w:rPr>
          <w:b/>
          <w:bCs/>
        </w:rPr>
        <w:t>devolution to a subsequent heir</w:t>
      </w:r>
      <w:r w:rsidRPr="00423C9E">
        <w:t>.</w:t>
      </w:r>
    </w:p>
    <w:p w14:paraId="698BC487" w14:textId="0B39D9F7" w:rsidR="002950FD" w:rsidRPr="00423C9E" w:rsidRDefault="002950FD" w:rsidP="002950FD">
      <w:pPr>
        <w:pStyle w:val="Bodytext10"/>
        <w:spacing w:line="218" w:lineRule="auto"/>
        <w:jc w:val="both"/>
      </w:pPr>
      <w:r w:rsidRPr="00423C9E">
        <w:t>Finally, Ukrainian s</w:t>
      </w:r>
      <w:r w:rsidR="009C3378" w:rsidRPr="00423C9E">
        <w:t>uccession law provides for</w:t>
      </w:r>
      <w:r w:rsidRPr="00423C9E">
        <w:t xml:space="preserve"> </w:t>
      </w:r>
      <w:r w:rsidR="00423C9E" w:rsidRPr="00423C9E">
        <w:t xml:space="preserve">an </w:t>
      </w:r>
      <w:r w:rsidRPr="00423C9E">
        <w:t>agreement as to succession by which a third party, in exchange for</w:t>
      </w:r>
      <w:r w:rsidR="009E39BC" w:rsidRPr="00423C9E">
        <w:t xml:space="preserve"> </w:t>
      </w:r>
      <w:r w:rsidRPr="00423C9E">
        <w:t>certain obligations, takes over the deceased’s assets. The conclusion of the agreement as to succession requires notarial authentication (</w:t>
      </w:r>
      <w:proofErr w:type="spellStart"/>
      <w:r w:rsidRPr="00423C9E">
        <w:t>Süss</w:t>
      </w:r>
      <w:proofErr w:type="spellEnd"/>
      <w:r w:rsidRPr="00423C9E">
        <w:t xml:space="preserve">, Succession, </w:t>
      </w:r>
      <w:proofErr w:type="spellStart"/>
      <w:r w:rsidRPr="00423C9E">
        <w:t>Erbrecht</w:t>
      </w:r>
      <w:proofErr w:type="spellEnd"/>
      <w:r w:rsidRPr="00423C9E">
        <w:t xml:space="preserve"> in Europa, 4rd edition 2019, ° 12).</w:t>
      </w:r>
    </w:p>
    <w:p w14:paraId="4F5D9136" w14:textId="4D780F72" w:rsidR="000C7DB8" w:rsidRPr="00423C9E" w:rsidRDefault="002950FD">
      <w:pPr>
        <w:pStyle w:val="Bodytext10"/>
        <w:spacing w:line="218" w:lineRule="auto"/>
        <w:jc w:val="both"/>
      </w:pPr>
      <w:r w:rsidRPr="00423C9E">
        <w:t>As regards the formal effectiveness of wills, it is also sufficient from a Ukrainian perspective, in accordance with Article 72 of the Law on Private International La</w:t>
      </w:r>
      <w:r w:rsidR="00423C9E" w:rsidRPr="00423C9E">
        <w:t>w, that the law of the place where the will has been drawn up</w:t>
      </w:r>
      <w:r w:rsidRPr="00423C9E">
        <w:t xml:space="preserve"> has been respected. A will authenticated by a notary in Germany, in accordance with the rules of German law, is therefore still formally valid from the Ukrainian point of view. If so, the question might ar</w:t>
      </w:r>
      <w:r w:rsidR="00423C9E" w:rsidRPr="00423C9E">
        <w:t xml:space="preserve">ise as to whether that the </w:t>
      </w:r>
      <w:proofErr w:type="spellStart"/>
      <w:r w:rsidR="00423C9E" w:rsidRPr="00423C9E">
        <w:rPr>
          <w:i/>
        </w:rPr>
        <w:t>renvoi</w:t>
      </w:r>
      <w:proofErr w:type="spellEnd"/>
      <w:r w:rsidRPr="00423C9E">
        <w:t xml:space="preserve"> to German law also covers </w:t>
      </w:r>
      <w:r w:rsidR="00423C9E" w:rsidRPr="00423C9E">
        <w:t xml:space="preserve">the question whether </w:t>
      </w:r>
      <w:r w:rsidRPr="00423C9E">
        <w:t>the will</w:t>
      </w:r>
      <w:r w:rsidR="00423C9E" w:rsidRPr="00423C9E">
        <w:t>s</w:t>
      </w:r>
      <w:r w:rsidRPr="00423C9E">
        <w:t xml:space="preserve"> of the spouses </w:t>
      </w:r>
      <w:r w:rsidR="00423C9E" w:rsidRPr="00423C9E">
        <w:t xml:space="preserve">can be </w:t>
      </w:r>
      <w:r w:rsidRPr="00423C9E">
        <w:t>drawn up jointly</w:t>
      </w:r>
      <w:r w:rsidR="00423C9E" w:rsidRPr="00423C9E">
        <w:t>.</w:t>
      </w:r>
    </w:p>
    <w:p w14:paraId="6A79B1F2" w14:textId="53C21E90" w:rsidR="000C7DB8" w:rsidRPr="00423C9E" w:rsidRDefault="00125B30" w:rsidP="00D727A0">
      <w:pPr>
        <w:pStyle w:val="Heading410"/>
        <w:keepNext/>
        <w:keepLines/>
        <w:numPr>
          <w:ilvl w:val="0"/>
          <w:numId w:val="4"/>
        </w:numPr>
        <w:tabs>
          <w:tab w:val="left" w:pos="289"/>
        </w:tabs>
        <w:spacing w:line="209" w:lineRule="auto"/>
        <w:jc w:val="both"/>
      </w:pPr>
      <w:bookmarkStart w:id="6" w:name="bookmark12"/>
      <w:r w:rsidRPr="00423C9E">
        <w:rPr>
          <w:rStyle w:val="Heading41"/>
          <w:b/>
          <w:color w:val="005AAA"/>
        </w:rPr>
        <w:t xml:space="preserve">Who </w:t>
      </w:r>
      <w:r w:rsidR="0097144C" w:rsidRPr="00423C9E">
        <w:rPr>
          <w:rStyle w:val="Heading41"/>
          <w:b/>
          <w:color w:val="005AAA"/>
        </w:rPr>
        <w:t xml:space="preserve">are the </w:t>
      </w:r>
      <w:r w:rsidR="0097144C" w:rsidRPr="00423C9E">
        <w:rPr>
          <w:color w:val="005AAA"/>
        </w:rPr>
        <w:t>pers</w:t>
      </w:r>
      <w:r w:rsidR="00423C9E" w:rsidRPr="00423C9E">
        <w:rPr>
          <w:color w:val="005AAA"/>
        </w:rPr>
        <w:t>ons entitled to a reserved portion</w:t>
      </w:r>
      <w:r w:rsidRPr="00423C9E">
        <w:rPr>
          <w:rStyle w:val="Heading41"/>
          <w:b/>
          <w:color w:val="005AAA"/>
        </w:rPr>
        <w:t xml:space="preserve"> under Ukrainian law?</w:t>
      </w:r>
      <w:bookmarkEnd w:id="6"/>
    </w:p>
    <w:p w14:paraId="46538C3B" w14:textId="43245B8B" w:rsidR="00D727A0" w:rsidRPr="00423C9E" w:rsidRDefault="00D727A0" w:rsidP="00D727A0">
      <w:pPr>
        <w:pStyle w:val="Bodytext10"/>
        <w:spacing w:after="240" w:line="230" w:lineRule="auto"/>
        <w:jc w:val="both"/>
      </w:pPr>
      <w:r w:rsidRPr="00423C9E">
        <w:rPr>
          <w:rStyle w:val="Bodytext1"/>
        </w:rPr>
        <w:t xml:space="preserve">In accordance with Article 1241 of the Ukrainian Civil Code, only minor or adult children, as well as parents and spouses who are unable to work and therefore cannot provide for themselves, </w:t>
      </w:r>
      <w:r w:rsidR="00423C9E" w:rsidRPr="00423C9E">
        <w:rPr>
          <w:rStyle w:val="Bodytext1"/>
        </w:rPr>
        <w:t>are entitled to a reserved portion</w:t>
      </w:r>
      <w:r w:rsidRPr="00423C9E">
        <w:rPr>
          <w:rStyle w:val="Bodytext1"/>
        </w:rPr>
        <w:t xml:space="preserve">. The amount of the reserved share is half of </w:t>
      </w:r>
      <w:r w:rsidRPr="00423C9E">
        <w:rPr>
          <w:rStyle w:val="Bodytext1"/>
        </w:rPr>
        <w:softHyphen/>
        <w:t xml:space="preserve">the share </w:t>
      </w:r>
      <w:r w:rsidR="00423C9E" w:rsidRPr="00423C9E">
        <w:rPr>
          <w:rStyle w:val="Bodytext1"/>
        </w:rPr>
        <w:t xml:space="preserve">of the intestate succession </w:t>
      </w:r>
      <w:r w:rsidRPr="00423C9E">
        <w:rPr>
          <w:rStyle w:val="Bodytext1"/>
        </w:rPr>
        <w:t>(</w:t>
      </w:r>
      <w:proofErr w:type="spellStart"/>
      <w:r w:rsidRPr="00423C9E">
        <w:rPr>
          <w:rStyle w:val="Bodytext1"/>
        </w:rPr>
        <w:t>Süß</w:t>
      </w:r>
      <w:proofErr w:type="spellEnd"/>
      <w:r w:rsidRPr="00423C9E">
        <w:rPr>
          <w:rStyle w:val="Bodytext1"/>
        </w:rPr>
        <w:t xml:space="preserve">, </w:t>
      </w:r>
      <w:proofErr w:type="spellStart"/>
      <w:r w:rsidRPr="00423C9E">
        <w:rPr>
          <w:rStyle w:val="Bodytext1"/>
        </w:rPr>
        <w:t>Erbrecht</w:t>
      </w:r>
      <w:proofErr w:type="spellEnd"/>
      <w:r w:rsidRPr="00423C9E">
        <w:rPr>
          <w:rStyle w:val="Bodytext1"/>
        </w:rPr>
        <w:t xml:space="preserve"> in Europa, 4th edition 2019, </w:t>
      </w:r>
      <w:proofErr w:type="spellStart"/>
      <w:r w:rsidRPr="00423C9E">
        <w:rPr>
          <w:rStyle w:val="Bodytext1"/>
        </w:rPr>
        <w:t>Länderbericht</w:t>
      </w:r>
      <w:proofErr w:type="spellEnd"/>
      <w:r w:rsidRPr="00423C9E">
        <w:rPr>
          <w:rStyle w:val="Bodytext1"/>
        </w:rPr>
        <w:t xml:space="preserve"> Ukraine, No 15). Unlik</w:t>
      </w:r>
      <w:r w:rsidR="00423C9E" w:rsidRPr="00423C9E">
        <w:rPr>
          <w:rStyle w:val="Bodytext1"/>
        </w:rPr>
        <w:t>e German law, the reserved portion</w:t>
      </w:r>
      <w:r w:rsidRPr="00423C9E">
        <w:rPr>
          <w:rStyle w:val="Bodytext1"/>
        </w:rPr>
        <w:t xml:space="preserve"> is not conceived as a claim, but the holder of the reserved share </w:t>
      </w:r>
      <w:r w:rsidRPr="00423C9E">
        <w:rPr>
          <w:rStyle w:val="Bodytext1"/>
          <w:b/>
        </w:rPr>
        <w:t xml:space="preserve">becomes directly co-heir to </w:t>
      </w:r>
      <w:r w:rsidRPr="00423C9E">
        <w:rPr>
          <w:rStyle w:val="Bodytext1"/>
        </w:rPr>
        <w:t>the extent of his percentage of the estate.</w:t>
      </w:r>
    </w:p>
    <w:p w14:paraId="3859D7AF" w14:textId="3A175C1E" w:rsidR="000C7DB8" w:rsidRPr="00423C9E" w:rsidRDefault="00D727A0" w:rsidP="00D66690">
      <w:pPr>
        <w:pStyle w:val="Bodytext10"/>
        <w:spacing w:after="240" w:line="228" w:lineRule="auto"/>
        <w:jc w:val="both"/>
      </w:pPr>
      <w:r w:rsidRPr="00423C9E">
        <w:rPr>
          <w:rStyle w:val="Bodytext1"/>
        </w:rPr>
        <w:t xml:space="preserve">Ukrainian law does not </w:t>
      </w:r>
      <w:proofErr w:type="spellStart"/>
      <w:r w:rsidRPr="00423C9E">
        <w:rPr>
          <w:rStyle w:val="Bodytext1"/>
        </w:rPr>
        <w:t>recognise</w:t>
      </w:r>
      <w:proofErr w:type="spellEnd"/>
      <w:r w:rsidRPr="00423C9E">
        <w:rPr>
          <w:rStyle w:val="Bodytext1"/>
        </w:rPr>
        <w:t xml:space="preserve"> </w:t>
      </w:r>
      <w:r w:rsidR="00423C9E">
        <w:rPr>
          <w:rStyle w:val="Bodytext1"/>
          <w:b/>
        </w:rPr>
        <w:t xml:space="preserve">the waiver of </w:t>
      </w:r>
      <w:r w:rsidR="00423C9E" w:rsidRPr="00423C9E">
        <w:rPr>
          <w:rStyle w:val="Bodytext1"/>
          <w:b/>
        </w:rPr>
        <w:t>the reserved portion</w:t>
      </w:r>
      <w:r w:rsidRPr="00423C9E">
        <w:rPr>
          <w:rStyle w:val="Bodytext1"/>
        </w:rPr>
        <w:t>.</w:t>
      </w:r>
    </w:p>
    <w:p w14:paraId="2779E6C6" w14:textId="77777777" w:rsidR="000F3CD7" w:rsidRPr="00423C9E" w:rsidRDefault="000F3CD7" w:rsidP="000F3CD7">
      <w:pPr>
        <w:pStyle w:val="Heading410"/>
        <w:keepNext/>
        <w:keepLines/>
        <w:numPr>
          <w:ilvl w:val="0"/>
          <w:numId w:val="4"/>
        </w:numPr>
        <w:tabs>
          <w:tab w:val="left" w:pos="279"/>
        </w:tabs>
        <w:spacing w:after="0" w:line="230" w:lineRule="auto"/>
        <w:jc w:val="both"/>
        <w:rPr>
          <w:rStyle w:val="Heading41"/>
          <w:b/>
          <w:color w:val="auto"/>
        </w:rPr>
      </w:pPr>
      <w:r w:rsidRPr="00423C9E">
        <w:rPr>
          <w:rStyle w:val="Heading41"/>
          <w:b/>
          <w:color w:val="auto"/>
        </w:rPr>
        <w:t>What should be taken into account when determining the succession regime?</w:t>
      </w:r>
    </w:p>
    <w:p w14:paraId="69B4154F" w14:textId="22B0109C" w:rsidR="000C7DB8" w:rsidRPr="00423C9E" w:rsidRDefault="000C7DB8" w:rsidP="000F3CD7">
      <w:pPr>
        <w:pStyle w:val="Bodytext10"/>
        <w:tabs>
          <w:tab w:val="left" w:pos="289"/>
        </w:tabs>
        <w:spacing w:line="218" w:lineRule="auto"/>
        <w:ind w:left="300"/>
        <w:jc w:val="both"/>
      </w:pPr>
    </w:p>
    <w:p w14:paraId="53E89679" w14:textId="007EABB2" w:rsidR="000F3CD7" w:rsidRPr="000A6033" w:rsidRDefault="000F3CD7" w:rsidP="000F3CD7">
      <w:pPr>
        <w:pStyle w:val="Bodytext10"/>
        <w:tabs>
          <w:tab w:val="left" w:pos="289"/>
        </w:tabs>
        <w:spacing w:line="218" w:lineRule="auto"/>
        <w:ind w:left="300"/>
        <w:jc w:val="both"/>
      </w:pPr>
      <w:r w:rsidRPr="00423C9E">
        <w:t>In accordance with Article 75 (1) of the European Succession Regulation (Regulation 650/2022), the Succession Regulation does not affect the application of international conventions which the Member States had already concluded at the time of the adoption of the Regulation on 4 July 2012. In relations between Germany and Ukraine, Article 28(3) of the Consular Treaty between</w:t>
      </w:r>
      <w:r w:rsidR="00802BEB" w:rsidRPr="00423C9E">
        <w:t xml:space="preserve"> </w:t>
      </w:r>
      <w:r w:rsidRPr="00423C9E">
        <w:t>the Federal Republic of Germany and the Union of Soviet Socialist Republics of 25.4.1958 (</w:t>
      </w:r>
      <w:proofErr w:type="spellStart"/>
      <w:r w:rsidRPr="00423C9E">
        <w:t>Bundesgesetzblatt,BGBl</w:t>
      </w:r>
      <w:proofErr w:type="spellEnd"/>
      <w:r w:rsidRPr="00423C9E">
        <w:t xml:space="preserve">. II 1959, p. 233) applies. It is true that the former Soviet Union, as a contracting party to the German-Soviet Consular Treaty, has no longer existed since 31.12.1991. However, by note of 30 June 1993, Ukraine took over the international treaties of the former Soviet Union </w:t>
      </w:r>
      <w:r w:rsidRPr="000A6033">
        <w:t>(</w:t>
      </w:r>
      <w:proofErr w:type="spellStart"/>
      <w:r w:rsidRPr="000A6033">
        <w:t>Bundesgesetzblatt</w:t>
      </w:r>
      <w:proofErr w:type="spellEnd"/>
      <w:r w:rsidRPr="000A6033">
        <w:t xml:space="preserve">, </w:t>
      </w:r>
      <w:proofErr w:type="spellStart"/>
      <w:r w:rsidRPr="000A6033">
        <w:t>BGBl</w:t>
      </w:r>
      <w:proofErr w:type="spellEnd"/>
      <w:r w:rsidRPr="000A6033">
        <w:t>. II 1993, p. 1189).</w:t>
      </w:r>
    </w:p>
    <w:p w14:paraId="1CE176F4" w14:textId="23B568C1" w:rsidR="000F3CD7" w:rsidRPr="000A6033" w:rsidRDefault="00423C9E" w:rsidP="000F3CD7">
      <w:pPr>
        <w:pStyle w:val="Bodytext10"/>
        <w:tabs>
          <w:tab w:val="left" w:pos="289"/>
        </w:tabs>
        <w:spacing w:line="218" w:lineRule="auto"/>
        <w:ind w:left="300"/>
        <w:jc w:val="both"/>
      </w:pPr>
      <w:r w:rsidRPr="000A6033">
        <w:t>As regards the subject matter</w:t>
      </w:r>
      <w:r w:rsidR="000F3CD7" w:rsidRPr="000A6033">
        <w:t xml:space="preserve">, the Convention applies where, in a Contracting State, there is immovable property forming part of the estate </w:t>
      </w:r>
      <w:r w:rsidR="00802BEB" w:rsidRPr="000A6033">
        <w:t>of a</w:t>
      </w:r>
      <w:r w:rsidR="000F3CD7" w:rsidRPr="000A6033">
        <w:t xml:space="preserve"> national of the other Contracting State (</w:t>
      </w:r>
      <w:proofErr w:type="spellStart"/>
      <w:r w:rsidR="000F3CD7" w:rsidRPr="000A6033">
        <w:t>Odersky</w:t>
      </w:r>
      <w:proofErr w:type="spellEnd"/>
      <w:r w:rsidR="000F3CD7" w:rsidRPr="000A6033">
        <w:t xml:space="preserve">, in: </w:t>
      </w:r>
      <w:proofErr w:type="spellStart"/>
      <w:r w:rsidR="000F3CD7" w:rsidRPr="000A6033">
        <w:t>Hausmann</w:t>
      </w:r>
      <w:proofErr w:type="spellEnd"/>
      <w:r w:rsidR="000F3CD7" w:rsidRPr="000A6033">
        <w:t>/</w:t>
      </w:r>
      <w:proofErr w:type="spellStart"/>
      <w:r w:rsidR="000F3CD7" w:rsidRPr="000A6033">
        <w:t>Odersky</w:t>
      </w:r>
      <w:proofErr w:type="spellEnd"/>
      <w:r w:rsidR="000F3CD7" w:rsidRPr="000A6033">
        <w:t xml:space="preserve">, </w:t>
      </w:r>
      <w:proofErr w:type="spellStart"/>
      <w:r w:rsidR="000F3CD7" w:rsidRPr="000A6033">
        <w:t>Internationales</w:t>
      </w:r>
      <w:proofErr w:type="spellEnd"/>
      <w:r w:rsidR="000F3CD7" w:rsidRPr="000A6033">
        <w:t xml:space="preserve"> </w:t>
      </w:r>
      <w:proofErr w:type="spellStart"/>
      <w:r w:rsidR="000F3CD7" w:rsidRPr="000A6033">
        <w:t>Privatrecht</w:t>
      </w:r>
      <w:proofErr w:type="spellEnd"/>
      <w:r w:rsidR="000F3CD7" w:rsidRPr="000A6033">
        <w:t xml:space="preserve"> in der </w:t>
      </w:r>
      <w:proofErr w:type="spellStart"/>
      <w:r w:rsidR="000F3CD7" w:rsidRPr="000A6033">
        <w:t>Notar</w:t>
      </w:r>
      <w:proofErr w:type="spellEnd"/>
      <w:r w:rsidR="000F3CD7" w:rsidRPr="000A6033">
        <w:t xml:space="preserve">-und </w:t>
      </w:r>
      <w:proofErr w:type="spellStart"/>
      <w:r w:rsidR="000F3CD7" w:rsidRPr="000A6033">
        <w:t>Gestaltungspraxis</w:t>
      </w:r>
      <w:proofErr w:type="spellEnd"/>
      <w:r w:rsidR="000F3CD7" w:rsidRPr="000A6033">
        <w:t xml:space="preserve">, 4 edition 2021, para. 15, No. 366). Therefore, for immovable property of a Ukrainian deceased located in Germany, German succession law applies. </w:t>
      </w:r>
    </w:p>
    <w:p w14:paraId="109D1DB3" w14:textId="34414B5E" w:rsidR="000F3CD7" w:rsidRPr="00AC7024" w:rsidRDefault="000F3CD7" w:rsidP="000F3CD7">
      <w:pPr>
        <w:pStyle w:val="Bodytext10"/>
        <w:tabs>
          <w:tab w:val="left" w:pos="289"/>
        </w:tabs>
        <w:spacing w:line="218" w:lineRule="auto"/>
        <w:ind w:left="300"/>
        <w:jc w:val="both"/>
        <w:rPr>
          <w:highlight w:val="cyan"/>
        </w:rPr>
      </w:pPr>
      <w:r w:rsidRPr="000A6033">
        <w:t xml:space="preserve">The remainder of the succession is not covered by the German-Soviet consular contract. From a German point of view, </w:t>
      </w:r>
      <w:r w:rsidR="000A6033" w:rsidRPr="000A6033">
        <w:t xml:space="preserve">the </w:t>
      </w:r>
      <w:r w:rsidRPr="000A6033">
        <w:t xml:space="preserve">succession is governed by Article 21 (1) of Regulation No 650/2012, taking into account, where appropriate, a priority choice of applicable law. The law of the State in which the deceased had his habitual residence at the time of death is therefore applicable. The EU Succession Regulation does not contain a definition of habitual residence, but recitals 23 and 24 provide guidance on its determination (see judgment of the Court of Justice of the EU in </w:t>
      </w:r>
      <w:r w:rsidRPr="00721050">
        <w:t>NJW 2020, 2947, paragraphs 37 et seq.). In principle, a case-by-case examination is necessary, it being understood that the ‘</w:t>
      </w:r>
      <w:proofErr w:type="spellStart"/>
      <w:r w:rsidRPr="00721050">
        <w:t>centre</w:t>
      </w:r>
      <w:proofErr w:type="spellEnd"/>
      <w:r w:rsidRPr="00721050">
        <w:t xml:space="preserve"> of interests’ of the deceased ‘from</w:t>
      </w:r>
      <w:r w:rsidR="00977215" w:rsidRPr="00721050">
        <w:t xml:space="preserve"> </w:t>
      </w:r>
      <w:r w:rsidRPr="00721050">
        <w:t xml:space="preserve">a family and social point of view’ is decisive (recital 24, third sentence). Recital 23 expressly </w:t>
      </w:r>
      <w:proofErr w:type="spellStart"/>
      <w:r w:rsidRPr="00721050">
        <w:t>emphasises</w:t>
      </w:r>
      <w:proofErr w:type="spellEnd"/>
      <w:r w:rsidRPr="00721050">
        <w:t xml:space="preserve"> that there must be ‘a genuine connecti</w:t>
      </w:r>
      <w:r w:rsidR="00977215" w:rsidRPr="00721050">
        <w:t>ng factor</w:t>
      </w:r>
      <w:r w:rsidRPr="00721050">
        <w:t xml:space="preserve">’ and ‘a particularly close and stable </w:t>
      </w:r>
      <w:r w:rsidR="00977215" w:rsidRPr="00721050">
        <w:t>connection</w:t>
      </w:r>
      <w:r w:rsidRPr="00721050">
        <w:t xml:space="preserve"> with the State concerned’. Such a link is not yet to be assumed, as long as the deceased intends, for example, to return to Ukrai</w:t>
      </w:r>
      <w:r w:rsidR="00721050" w:rsidRPr="00721050">
        <w:t>ne after the end of the war</w:t>
      </w:r>
      <w:r w:rsidRPr="00721050">
        <w:t>.</w:t>
      </w:r>
    </w:p>
    <w:p w14:paraId="76891233" w14:textId="1B89997A" w:rsidR="000F3CD7" w:rsidRPr="00143B22" w:rsidRDefault="000F3CD7" w:rsidP="000F3CD7">
      <w:pPr>
        <w:pStyle w:val="Bodytext10"/>
        <w:tabs>
          <w:tab w:val="left" w:pos="289"/>
        </w:tabs>
        <w:spacing w:line="218" w:lineRule="auto"/>
        <w:ind w:left="300"/>
        <w:jc w:val="both"/>
      </w:pPr>
      <w:r w:rsidRPr="00AE6211">
        <w:t xml:space="preserve">If, at the time of his death, the deceased had his </w:t>
      </w:r>
      <w:r w:rsidRPr="00143B22">
        <w:lastRenderedPageBreak/>
        <w:t>h</w:t>
      </w:r>
      <w:r w:rsidR="00721050" w:rsidRPr="00143B22">
        <w:t>abitual residence in that sense</w:t>
      </w:r>
      <w:r w:rsidRPr="00143B22">
        <w:t xml:space="preserve"> in</w:t>
      </w:r>
      <w:r w:rsidR="00743C94" w:rsidRPr="00143B22">
        <w:t xml:space="preserve"> </w:t>
      </w:r>
      <w:r w:rsidRPr="00143B22">
        <w:t>Ukrai</w:t>
      </w:r>
      <w:r w:rsidR="00743C94" w:rsidRPr="00143B22">
        <w:t>ne</w:t>
      </w:r>
      <w:r w:rsidRPr="00143B22">
        <w:t xml:space="preserve">, the </w:t>
      </w:r>
      <w:r w:rsidR="00D66690" w:rsidRPr="00143B22">
        <w:t xml:space="preserve"> </w:t>
      </w:r>
      <w:r w:rsidRPr="00143B22">
        <w:t>succession of movable proper</w:t>
      </w:r>
      <w:r w:rsidR="00143B22" w:rsidRPr="00143B22">
        <w:t xml:space="preserve">ty is the subject of a </w:t>
      </w:r>
      <w:proofErr w:type="spellStart"/>
      <w:r w:rsidR="00143B22" w:rsidRPr="00143B22">
        <w:rPr>
          <w:i/>
        </w:rPr>
        <w:t>renvoi</w:t>
      </w:r>
      <w:proofErr w:type="spellEnd"/>
      <w:r w:rsidRPr="00143B22">
        <w:t xml:space="preserve"> to Ukrainian law. The Ukrainian </w:t>
      </w:r>
      <w:r w:rsidR="00721050" w:rsidRPr="00143B22">
        <w:t>PIL</w:t>
      </w:r>
      <w:r w:rsidRPr="00143B22">
        <w:t xml:space="preserve"> sho</w:t>
      </w:r>
      <w:r w:rsidR="00143B22" w:rsidRPr="00143B22">
        <w:t xml:space="preserve">uld also be included in that </w:t>
      </w:r>
      <w:proofErr w:type="spellStart"/>
      <w:r w:rsidR="00143B22" w:rsidRPr="00143B22">
        <w:rPr>
          <w:i/>
        </w:rPr>
        <w:t>renvoi</w:t>
      </w:r>
      <w:proofErr w:type="spellEnd"/>
      <w:r w:rsidRPr="00143B22">
        <w:rPr>
          <w:i/>
        </w:rPr>
        <w:t>,</w:t>
      </w:r>
      <w:r w:rsidRPr="00143B22">
        <w:t xml:space="preserve"> Article 34(1) of Regulation No 650/2012. In particular, account</w:t>
      </w:r>
      <w:r w:rsidR="00143B22" w:rsidRPr="00143B22">
        <w:t xml:space="preserve"> should be taken of a </w:t>
      </w:r>
      <w:proofErr w:type="spellStart"/>
      <w:r w:rsidR="00143B22" w:rsidRPr="00143B22">
        <w:rPr>
          <w:i/>
        </w:rPr>
        <w:t>renvoi</w:t>
      </w:r>
      <w:proofErr w:type="spellEnd"/>
      <w:r w:rsidR="00143B22" w:rsidRPr="00143B22">
        <w:t xml:space="preserve"> </w:t>
      </w:r>
      <w:r w:rsidRPr="00143B22">
        <w:t>to German law.</w:t>
      </w:r>
    </w:p>
    <w:p w14:paraId="5779EF3C" w14:textId="235E6B27" w:rsidR="000F3CD7" w:rsidRDefault="000F3CD7" w:rsidP="000F3CD7">
      <w:pPr>
        <w:pStyle w:val="Bodytext10"/>
        <w:tabs>
          <w:tab w:val="left" w:pos="289"/>
        </w:tabs>
        <w:spacing w:line="218" w:lineRule="auto"/>
        <w:ind w:left="300"/>
        <w:jc w:val="both"/>
      </w:pPr>
      <w:r w:rsidRPr="00143B22">
        <w:t xml:space="preserve">In accordance with Articles 70 et seq. of the </w:t>
      </w:r>
      <w:r w:rsidR="00743C94" w:rsidRPr="00143B22">
        <w:t xml:space="preserve">Ukrainian </w:t>
      </w:r>
      <w:r w:rsidRPr="00143B22">
        <w:t xml:space="preserve">Law on </w:t>
      </w:r>
      <w:r w:rsidR="00743C94" w:rsidRPr="00143B22">
        <w:t>International Private Law</w:t>
      </w:r>
      <w:r w:rsidRPr="00143B22">
        <w:t>, from a Ukrainian perspective, the succession regime is divided: while movable property is governed by the law of the State in which the deceased was last habitually resident (Art. 70, first sentence of the Ukrainian Private International Law Act), immovable property is governed by the law of their respective situation, in accordance with Article 71 of the Ukrainian Law on International</w:t>
      </w:r>
      <w:r w:rsidR="00AC7024" w:rsidRPr="00143B22">
        <w:t xml:space="preserve"> Private</w:t>
      </w:r>
      <w:r w:rsidRPr="00143B22">
        <w:t xml:space="preserve"> Law). In the case of movable property, the deceased may choose the law of his country of origin.</w:t>
      </w:r>
    </w:p>
    <w:p w14:paraId="690C3CDA" w14:textId="706D9891" w:rsidR="000C7DB8" w:rsidRPr="00143B22" w:rsidRDefault="00125B30">
      <w:pPr>
        <w:pStyle w:val="Heading410"/>
        <w:keepNext/>
        <w:keepLines/>
        <w:numPr>
          <w:ilvl w:val="0"/>
          <w:numId w:val="4"/>
        </w:numPr>
        <w:tabs>
          <w:tab w:val="left" w:pos="289"/>
        </w:tabs>
        <w:spacing w:line="209" w:lineRule="auto"/>
        <w:jc w:val="both"/>
      </w:pPr>
      <w:bookmarkStart w:id="7" w:name="bookmark14"/>
      <w:r w:rsidRPr="00143B22">
        <w:rPr>
          <w:rStyle w:val="Heading41"/>
          <w:b/>
        </w:rPr>
        <w:t xml:space="preserve">Particularities of </w:t>
      </w:r>
      <w:r w:rsidR="00143B22">
        <w:rPr>
          <w:rStyle w:val="Heading41"/>
          <w:b/>
        </w:rPr>
        <w:t xml:space="preserve">parentage </w:t>
      </w:r>
      <w:r w:rsidRPr="00143B22">
        <w:rPr>
          <w:rStyle w:val="Heading41"/>
          <w:b/>
        </w:rPr>
        <w:t>(especially surrogate mothers)</w:t>
      </w:r>
      <w:bookmarkEnd w:id="7"/>
    </w:p>
    <w:p w14:paraId="158768DD" w14:textId="70BC2A1F" w:rsidR="000C7DB8" w:rsidRPr="00B669BB" w:rsidRDefault="00B669BB">
      <w:pPr>
        <w:pStyle w:val="Bodytext10"/>
        <w:spacing w:line="221" w:lineRule="auto"/>
        <w:jc w:val="both"/>
      </w:pPr>
      <w:r w:rsidRPr="00B669BB">
        <w:rPr>
          <w:rStyle w:val="Bodytext1"/>
        </w:rPr>
        <w:t>With regard to parentage</w:t>
      </w:r>
      <w:r w:rsidR="00125B30" w:rsidRPr="00B669BB">
        <w:rPr>
          <w:rStyle w:val="Bodytext1"/>
        </w:rPr>
        <w:t>, it should be noted that Ukrainian law admits surrogate mothers. Therefore, in the case of extracorpor</w:t>
      </w:r>
      <w:r>
        <w:rPr>
          <w:rStyle w:val="Bodytext1"/>
        </w:rPr>
        <w:t>e</w:t>
      </w:r>
      <w:r w:rsidR="00125B30" w:rsidRPr="00B669BB">
        <w:rPr>
          <w:rStyle w:val="Bodytext1"/>
        </w:rPr>
        <w:t xml:space="preserve">al </w:t>
      </w:r>
      <w:proofErr w:type="spellStart"/>
      <w:r w:rsidR="00125B30" w:rsidRPr="00B669BB">
        <w:rPr>
          <w:rStyle w:val="Bodytext1"/>
        </w:rPr>
        <w:t>fertilisation</w:t>
      </w:r>
      <w:proofErr w:type="spellEnd"/>
      <w:r w:rsidR="00125B30" w:rsidRPr="00B669BB">
        <w:rPr>
          <w:rStyle w:val="Bodytext1"/>
        </w:rPr>
        <w:t>, it is not the mother who gives birth and her husband who are parents of the child,</w:t>
      </w:r>
      <w:r w:rsidR="00AC7024" w:rsidRPr="00B669BB">
        <w:rPr>
          <w:rStyle w:val="Bodytext1"/>
        </w:rPr>
        <w:t xml:space="preserve"> but</w:t>
      </w:r>
      <w:r w:rsidR="00125B30" w:rsidRPr="00B669BB">
        <w:rPr>
          <w:rStyle w:val="Bodytext1"/>
        </w:rPr>
        <w:t xml:space="preserve"> the</w:t>
      </w:r>
      <w:r w:rsidR="00D02144" w:rsidRPr="00B669BB">
        <w:rPr>
          <w:rStyle w:val="Bodytext1"/>
        </w:rPr>
        <w:t xml:space="preserve"> </w:t>
      </w:r>
      <w:r w:rsidR="00AC7024" w:rsidRPr="00B669BB">
        <w:rPr>
          <w:rStyle w:val="Bodytext1"/>
        </w:rPr>
        <w:t>genetic parents</w:t>
      </w:r>
      <w:r w:rsidR="00125B30" w:rsidRPr="00B669BB">
        <w:rPr>
          <w:rStyle w:val="Bodytext1"/>
        </w:rPr>
        <w:t xml:space="preserve">, in accordance with Article 123 (2) of the Ukrainian Family Code (see in detail </w:t>
      </w:r>
      <w:proofErr w:type="spellStart"/>
      <w:r w:rsidR="00125B30" w:rsidRPr="00B669BB">
        <w:rPr>
          <w:rStyle w:val="Bodytext1"/>
        </w:rPr>
        <w:t>BeckOGK</w:t>
      </w:r>
      <w:proofErr w:type="spellEnd"/>
      <w:r w:rsidR="00125B30" w:rsidRPr="00B669BB">
        <w:rPr>
          <w:rStyle w:val="Bodytext1"/>
        </w:rPr>
        <w:t>/</w:t>
      </w:r>
      <w:proofErr w:type="spellStart"/>
      <w:r w:rsidR="00125B30" w:rsidRPr="00B669BB">
        <w:rPr>
          <w:rStyle w:val="Bodytext1"/>
        </w:rPr>
        <w:t>Markwardt</w:t>
      </w:r>
      <w:proofErr w:type="spellEnd"/>
      <w:r w:rsidR="00125B30" w:rsidRPr="00B669BB">
        <w:rPr>
          <w:rStyle w:val="Bodytext1"/>
        </w:rPr>
        <w:t xml:space="preserve">, 1.3.2022, Art. 22 </w:t>
      </w:r>
      <w:proofErr w:type="spellStart"/>
      <w:r w:rsidR="00125B30" w:rsidRPr="00B669BB">
        <w:rPr>
          <w:rStyle w:val="Bodytext1"/>
          <w:i/>
        </w:rPr>
        <w:t>Einführungsgesetz</w:t>
      </w:r>
      <w:proofErr w:type="spellEnd"/>
      <w:r w:rsidR="00125B30" w:rsidRPr="00B669BB">
        <w:rPr>
          <w:rStyle w:val="Bodytext1"/>
          <w:i/>
        </w:rPr>
        <w:t xml:space="preserve"> </w:t>
      </w:r>
      <w:proofErr w:type="spellStart"/>
      <w:r w:rsidR="00125B30" w:rsidRPr="00B669BB">
        <w:rPr>
          <w:rStyle w:val="Bodytext1"/>
          <w:i/>
        </w:rPr>
        <w:t>zu</w:t>
      </w:r>
      <w:r w:rsidRPr="00B669BB">
        <w:rPr>
          <w:rStyle w:val="Bodytext1"/>
          <w:i/>
        </w:rPr>
        <w:t>m</w:t>
      </w:r>
      <w:proofErr w:type="spellEnd"/>
      <w:r w:rsidR="00125B30" w:rsidRPr="00B669BB">
        <w:rPr>
          <w:rStyle w:val="Bodytext1"/>
          <w:i/>
        </w:rPr>
        <w:t xml:space="preserve"> </w:t>
      </w:r>
      <w:proofErr w:type="spellStart"/>
      <w:r w:rsidR="00125B30" w:rsidRPr="00B669BB">
        <w:rPr>
          <w:rStyle w:val="Bodytext1"/>
          <w:i/>
        </w:rPr>
        <w:t>Bürgerlichen</w:t>
      </w:r>
      <w:proofErr w:type="spellEnd"/>
      <w:r w:rsidR="00125B30" w:rsidRPr="00B669BB">
        <w:rPr>
          <w:rStyle w:val="Bodytext1"/>
          <w:i/>
        </w:rPr>
        <w:t xml:space="preserve"> </w:t>
      </w:r>
      <w:proofErr w:type="spellStart"/>
      <w:r w:rsidR="00125B30" w:rsidRPr="00B669BB">
        <w:rPr>
          <w:rStyle w:val="Bodytext1"/>
          <w:i/>
        </w:rPr>
        <w:t>Gesetzbuch</w:t>
      </w:r>
      <w:proofErr w:type="spellEnd"/>
      <w:r w:rsidR="00125B30" w:rsidRPr="00B669BB">
        <w:rPr>
          <w:rStyle w:val="Bodytext1"/>
        </w:rPr>
        <w:t>, EGBGB, No 33 and the case-law cited).</w:t>
      </w:r>
    </w:p>
    <w:p w14:paraId="06CEAED2" w14:textId="1C83D422" w:rsidR="000C7DB8" w:rsidRPr="00B669BB" w:rsidRDefault="00125B30">
      <w:pPr>
        <w:pStyle w:val="Heading410"/>
        <w:keepNext/>
        <w:keepLines/>
        <w:numPr>
          <w:ilvl w:val="0"/>
          <w:numId w:val="4"/>
        </w:numPr>
        <w:tabs>
          <w:tab w:val="left" w:pos="289"/>
        </w:tabs>
        <w:spacing w:line="233" w:lineRule="auto"/>
        <w:jc w:val="both"/>
      </w:pPr>
      <w:bookmarkStart w:id="8" w:name="bookmark16"/>
      <w:r w:rsidRPr="00B669BB">
        <w:rPr>
          <w:rStyle w:val="Heading41"/>
          <w:b/>
        </w:rPr>
        <w:t xml:space="preserve">What is the </w:t>
      </w:r>
      <w:r w:rsidR="00D02144" w:rsidRPr="00B669BB">
        <w:rPr>
          <w:rStyle w:val="Heading41"/>
          <w:b/>
        </w:rPr>
        <w:t>law</w:t>
      </w:r>
      <w:r w:rsidRPr="00B669BB">
        <w:rPr>
          <w:rStyle w:val="Heading41"/>
          <w:b/>
        </w:rPr>
        <w:t xml:space="preserve"> </w:t>
      </w:r>
      <w:r w:rsidR="00D02144" w:rsidRPr="00B669BB">
        <w:rPr>
          <w:rStyle w:val="Heading41"/>
          <w:b/>
        </w:rPr>
        <w:t>applicable to</w:t>
      </w:r>
      <w:r w:rsidRPr="00B669BB">
        <w:rPr>
          <w:rStyle w:val="Heading41"/>
          <w:b/>
        </w:rPr>
        <w:t xml:space="preserve"> parent</w:t>
      </w:r>
      <w:r w:rsidR="00D02144" w:rsidRPr="00B669BB">
        <w:rPr>
          <w:rStyle w:val="Heading41"/>
          <w:b/>
        </w:rPr>
        <w:t>al</w:t>
      </w:r>
      <w:r w:rsidR="00B669BB">
        <w:rPr>
          <w:rStyle w:val="Heading41"/>
          <w:b/>
        </w:rPr>
        <w:t xml:space="preserve"> care and custody</w:t>
      </w:r>
      <w:r w:rsidRPr="00B669BB">
        <w:rPr>
          <w:rStyle w:val="Heading41"/>
          <w:b/>
        </w:rPr>
        <w:t>?</w:t>
      </w:r>
      <w:bookmarkEnd w:id="8"/>
    </w:p>
    <w:p w14:paraId="48577941" w14:textId="7E477E18" w:rsidR="000C7DB8" w:rsidRPr="00716D84" w:rsidRDefault="00B669BB">
      <w:pPr>
        <w:pStyle w:val="Bodytext10"/>
        <w:spacing w:after="160" w:line="218" w:lineRule="auto"/>
        <w:jc w:val="both"/>
      </w:pPr>
      <w:r w:rsidRPr="00B669BB">
        <w:rPr>
          <w:rStyle w:val="Bodytext1"/>
        </w:rPr>
        <w:t>Art.</w:t>
      </w:r>
      <w:r w:rsidR="00125B30" w:rsidRPr="00B669BB">
        <w:rPr>
          <w:rStyle w:val="Bodytext1"/>
        </w:rPr>
        <w:t xml:space="preserve"> 21 of the EGBGB (</w:t>
      </w:r>
      <w:proofErr w:type="spellStart"/>
      <w:r w:rsidR="00125B30" w:rsidRPr="00B669BB">
        <w:rPr>
          <w:rStyle w:val="Bodytext1"/>
          <w:i/>
        </w:rPr>
        <w:t>Einführungsgesetz</w:t>
      </w:r>
      <w:proofErr w:type="spellEnd"/>
      <w:r w:rsidR="00125B30" w:rsidRPr="00B669BB">
        <w:rPr>
          <w:rStyle w:val="Bodytext1"/>
          <w:i/>
        </w:rPr>
        <w:t xml:space="preserve"> </w:t>
      </w:r>
      <w:proofErr w:type="spellStart"/>
      <w:r w:rsidR="00125B30" w:rsidRPr="00B669BB">
        <w:rPr>
          <w:rStyle w:val="Bodytext1"/>
          <w:i/>
        </w:rPr>
        <w:t>zu</w:t>
      </w:r>
      <w:r w:rsidRPr="00B669BB">
        <w:rPr>
          <w:rStyle w:val="Bodytext1"/>
          <w:i/>
        </w:rPr>
        <w:t>m</w:t>
      </w:r>
      <w:proofErr w:type="spellEnd"/>
      <w:r w:rsidR="00125B30" w:rsidRPr="00B669BB">
        <w:rPr>
          <w:rStyle w:val="Bodytext1"/>
          <w:i/>
        </w:rPr>
        <w:t xml:space="preserve"> </w:t>
      </w:r>
      <w:proofErr w:type="spellStart"/>
      <w:r w:rsidR="00125B30" w:rsidRPr="00B669BB">
        <w:rPr>
          <w:rStyle w:val="Bodytext1"/>
          <w:i/>
        </w:rPr>
        <w:t>Bürgerlichen</w:t>
      </w:r>
      <w:proofErr w:type="spellEnd"/>
      <w:r w:rsidR="00125B30" w:rsidRPr="00B669BB">
        <w:rPr>
          <w:rStyle w:val="Bodytext1"/>
          <w:i/>
        </w:rPr>
        <w:t xml:space="preserve"> </w:t>
      </w:r>
      <w:proofErr w:type="spellStart"/>
      <w:r w:rsidR="00125B30" w:rsidRPr="00B669BB">
        <w:rPr>
          <w:rStyle w:val="Bodytext1"/>
          <w:i/>
        </w:rPr>
        <w:t>Gesetzbuch</w:t>
      </w:r>
      <w:proofErr w:type="spellEnd"/>
      <w:r w:rsidR="00125B30" w:rsidRPr="00B669BB">
        <w:rPr>
          <w:rStyle w:val="Bodytext1"/>
        </w:rPr>
        <w:t xml:space="preserve">) governs the law applicable to parental </w:t>
      </w:r>
      <w:r w:rsidRPr="00B669BB">
        <w:rPr>
          <w:rStyle w:val="Bodytext1"/>
        </w:rPr>
        <w:t xml:space="preserve">care and custody </w:t>
      </w:r>
      <w:r w:rsidR="00125B30" w:rsidRPr="00B669BB">
        <w:rPr>
          <w:rStyle w:val="Bodytext1"/>
        </w:rPr>
        <w:t xml:space="preserve">under German autonomous law. However, </w:t>
      </w:r>
      <w:r w:rsidR="00125B30" w:rsidRPr="00716D84">
        <w:rPr>
          <w:rStyle w:val="Bodytext1"/>
        </w:rPr>
        <w:t xml:space="preserve">account must be taken of the primacy of direct State treaties (Paragraph 3(2) EGBGB). The Hague Convention on the Protection of Children </w:t>
      </w:r>
      <w:r w:rsidR="00125B30" w:rsidRPr="00716D84">
        <w:rPr>
          <w:rStyle w:val="Bodytext1"/>
          <w:i/>
          <w:color w:val="000000"/>
        </w:rPr>
        <w:t>(Hague Convention of 19 October 1996 on Jurisdiction, Applicable Law, Recognition, Enforcement and Cooperation in Respect of Parental Responsibility and Measures for the Protection of Children</w:t>
      </w:r>
      <w:r w:rsidR="00125B30" w:rsidRPr="00716D84">
        <w:rPr>
          <w:rStyle w:val="Bodytext1"/>
        </w:rPr>
        <w:t>)</w:t>
      </w:r>
      <w:r w:rsidR="00D66690" w:rsidRPr="00716D84">
        <w:rPr>
          <w:rStyle w:val="Bodytext1"/>
        </w:rPr>
        <w:t xml:space="preserve"> </w:t>
      </w:r>
      <w:r w:rsidRPr="00716D84">
        <w:rPr>
          <w:rStyle w:val="Bodytext1"/>
        </w:rPr>
        <w:t xml:space="preserve">which has come into force </w:t>
      </w:r>
      <w:r w:rsidR="00125B30" w:rsidRPr="00716D84">
        <w:rPr>
          <w:rStyle w:val="Bodytext1"/>
        </w:rPr>
        <w:t xml:space="preserve">January 1, 2011, must be respected as a matter of priority. The Convention also </w:t>
      </w:r>
      <w:r w:rsidRPr="00716D84">
        <w:rPr>
          <w:rStyle w:val="Bodytext1"/>
        </w:rPr>
        <w:t xml:space="preserve">is also in force </w:t>
      </w:r>
      <w:r w:rsidR="00125B30" w:rsidRPr="00716D84">
        <w:rPr>
          <w:rStyle w:val="Bodytext1"/>
        </w:rPr>
        <w:t>in Ukraine since 1 February 2018.</w:t>
      </w:r>
    </w:p>
    <w:p w14:paraId="5ED39D62" w14:textId="05004770" w:rsidR="000C7DB8" w:rsidRPr="00716D84" w:rsidRDefault="00125B30">
      <w:pPr>
        <w:pStyle w:val="Bodytext10"/>
        <w:spacing w:after="160" w:line="221" w:lineRule="auto"/>
        <w:jc w:val="both"/>
      </w:pPr>
      <w:r w:rsidRPr="00716D84">
        <w:rPr>
          <w:rStyle w:val="Bodytext1"/>
        </w:rPr>
        <w:t>Both the attribution o</w:t>
      </w:r>
      <w:r w:rsidR="00B669BB" w:rsidRPr="00716D84">
        <w:rPr>
          <w:rStyle w:val="Bodytext1"/>
        </w:rPr>
        <w:t xml:space="preserve">f parental responsibility by operation of </w:t>
      </w:r>
      <w:r w:rsidRPr="00716D84">
        <w:rPr>
          <w:rStyle w:val="Bodytext1"/>
        </w:rPr>
        <w:t>law without the intervention of a judicial or administrative authority (Article 16(1) of the Conventi</w:t>
      </w:r>
      <w:r w:rsidR="00B669BB" w:rsidRPr="00716D84">
        <w:rPr>
          <w:rStyle w:val="Bodytext1"/>
        </w:rPr>
        <w:t>on) and by unilateral act or agreement</w:t>
      </w:r>
      <w:r w:rsidRPr="00716D84">
        <w:rPr>
          <w:rStyle w:val="Bodytext1"/>
        </w:rPr>
        <w:t xml:space="preserve"> (Article 16(2) of the Convention), such as </w:t>
      </w:r>
      <w:r w:rsidRPr="00716D84">
        <w:rPr>
          <w:rStyle w:val="Bodytext1"/>
          <w:b/>
        </w:rPr>
        <w:t xml:space="preserve">a </w:t>
      </w:r>
      <w:r w:rsidR="00B669BB" w:rsidRPr="00716D84">
        <w:rPr>
          <w:rStyle w:val="Bodytext1"/>
          <w:b/>
        </w:rPr>
        <w:t xml:space="preserve">custody declaration </w:t>
      </w:r>
      <w:r w:rsidR="00BA4C88" w:rsidRPr="00716D84">
        <w:rPr>
          <w:rStyle w:val="Bodytext1"/>
          <w:b/>
        </w:rPr>
        <w:t>or a power of attorney for parental care and custody</w:t>
      </w:r>
      <w:r w:rsidRPr="00716D84">
        <w:rPr>
          <w:rStyle w:val="Bodytext1"/>
          <w:b/>
        </w:rPr>
        <w:t xml:space="preserve">, are </w:t>
      </w:r>
      <w:r w:rsidR="00BA4C88" w:rsidRPr="00716D84">
        <w:rPr>
          <w:rStyle w:val="Bodytext1"/>
          <w:b/>
        </w:rPr>
        <w:t xml:space="preserve"> governed by </w:t>
      </w:r>
      <w:r w:rsidRPr="00716D84">
        <w:rPr>
          <w:rStyle w:val="Bodytext1"/>
          <w:b/>
        </w:rPr>
        <w:t xml:space="preserve">the </w:t>
      </w:r>
      <w:r w:rsidR="001D143A" w:rsidRPr="00716D84">
        <w:rPr>
          <w:rStyle w:val="Bodytext1"/>
          <w:b/>
        </w:rPr>
        <w:t>law</w:t>
      </w:r>
      <w:r w:rsidRPr="00716D84">
        <w:rPr>
          <w:rStyle w:val="Bodytext1"/>
          <w:b/>
        </w:rPr>
        <w:t xml:space="preserve"> of the</w:t>
      </w:r>
      <w:r w:rsidR="00BA4C88" w:rsidRPr="00716D84">
        <w:rPr>
          <w:rStyle w:val="Bodytext1"/>
          <w:b/>
        </w:rPr>
        <w:t xml:space="preserve"> state of the</w:t>
      </w:r>
      <w:r w:rsidRPr="00716D84">
        <w:rPr>
          <w:rStyle w:val="Bodytext1"/>
          <w:b/>
        </w:rPr>
        <w:t xml:space="preserve"> child’s habitual residence </w:t>
      </w:r>
      <w:r w:rsidRPr="00716D84">
        <w:rPr>
          <w:rStyle w:val="Bodytext1"/>
        </w:rPr>
        <w:t xml:space="preserve">at the time when the agreement takes effect (Article 16(2) of the Convention). Where </w:t>
      </w:r>
      <w:r w:rsidRPr="00716D84">
        <w:rPr>
          <w:rStyle w:val="Bodytext1"/>
        </w:rPr>
        <w:t xml:space="preserve">the right of </w:t>
      </w:r>
      <w:r w:rsidR="00BA4C88" w:rsidRPr="00716D84">
        <w:rPr>
          <w:rStyle w:val="Bodytext1"/>
        </w:rPr>
        <w:t xml:space="preserve">care and </w:t>
      </w:r>
      <w:r w:rsidRPr="00716D84">
        <w:rPr>
          <w:rStyle w:val="Bodytext1"/>
        </w:rPr>
        <w:t xml:space="preserve">custody results from a decision of the public authority (such as the guardianship ordered in a will), the competent authorities under Article 5 of the Convention of the Contracting State in which the child is </w:t>
      </w:r>
      <w:r w:rsidRPr="00716D84">
        <w:rPr>
          <w:rStyle w:val="Bodytext1"/>
          <w:b/>
        </w:rPr>
        <w:t xml:space="preserve">habitually resident </w:t>
      </w:r>
      <w:r w:rsidRPr="00716D84">
        <w:rPr>
          <w:rStyle w:val="Bodytext1"/>
        </w:rPr>
        <w:t xml:space="preserve">shall, </w:t>
      </w:r>
      <w:r w:rsidR="00BA4C88" w:rsidRPr="00716D84">
        <w:rPr>
          <w:rStyle w:val="Bodytext1"/>
        </w:rPr>
        <w:t>in exercising their jurisdiction, apply their own law</w:t>
      </w:r>
      <w:r w:rsidRPr="00716D84">
        <w:rPr>
          <w:rStyle w:val="Bodytext1"/>
        </w:rPr>
        <w:t xml:space="preserve"> (see Article 15(1) of the Convention).</w:t>
      </w:r>
    </w:p>
    <w:p w14:paraId="1FDCFBAC" w14:textId="792DCBC3" w:rsidR="001D143A" w:rsidRPr="00716D84" w:rsidRDefault="001D143A" w:rsidP="001D143A">
      <w:pPr>
        <w:pStyle w:val="Bodytext10"/>
        <w:spacing w:line="230" w:lineRule="auto"/>
        <w:jc w:val="both"/>
      </w:pPr>
      <w:r w:rsidRPr="00716D84">
        <w:rPr>
          <w:rStyle w:val="Bodytext1"/>
        </w:rPr>
        <w:t>When a child comes to Germany with his or her parents or a relative as a refugee, the question arises as to whether</w:t>
      </w:r>
      <w:r w:rsidRPr="00716D84">
        <w:rPr>
          <w:rStyle w:val="Bodytext1"/>
        </w:rPr>
        <w:softHyphen/>
        <w:t xml:space="preserve"> habitual residence should be established. Taking into </w:t>
      </w:r>
      <w:r w:rsidR="00BA4C88" w:rsidRPr="00716D84">
        <w:rPr>
          <w:rStyle w:val="Bodytext1"/>
        </w:rPr>
        <w:t>account the case-law of the ECJ</w:t>
      </w:r>
      <w:r w:rsidRPr="00716D84">
        <w:rPr>
          <w:rStyle w:val="Bodytext1"/>
        </w:rPr>
        <w:t xml:space="preserve"> (</w:t>
      </w:r>
      <w:proofErr w:type="spellStart"/>
      <w:r w:rsidRPr="00716D84">
        <w:rPr>
          <w:rStyle w:val="Bodytext1"/>
        </w:rPr>
        <w:t>FamRZ</w:t>
      </w:r>
      <w:proofErr w:type="spellEnd"/>
      <w:r w:rsidRPr="00716D84">
        <w:rPr>
          <w:rStyle w:val="Bodytext1"/>
        </w:rPr>
        <w:t xml:space="preserve"> 2015, 107), habitual residence is generally understood as the </w:t>
      </w:r>
      <w:proofErr w:type="spellStart"/>
      <w:r w:rsidRPr="00716D84">
        <w:rPr>
          <w:rStyle w:val="Bodytext1"/>
          <w:b/>
        </w:rPr>
        <w:t>centre</w:t>
      </w:r>
      <w:proofErr w:type="spellEnd"/>
      <w:r w:rsidRPr="00716D84">
        <w:rPr>
          <w:rStyle w:val="Bodytext1"/>
          <w:b/>
        </w:rPr>
        <w:t xml:space="preserve"> of the </w:t>
      </w:r>
      <w:r w:rsidR="00BA4C88" w:rsidRPr="00716D84">
        <w:rPr>
          <w:rStyle w:val="Bodytext1"/>
          <w:b/>
        </w:rPr>
        <w:t xml:space="preserve">vital interests </w:t>
      </w:r>
      <w:r w:rsidRPr="00716D84">
        <w:rPr>
          <w:rStyle w:val="Bodytext1"/>
        </w:rPr>
        <w:t xml:space="preserve">and is determined by social, family and occupational characteristics. Account must also be </w:t>
      </w:r>
      <w:r w:rsidRPr="00716D84">
        <w:rPr>
          <w:rStyle w:val="Bodytext1"/>
        </w:rPr>
        <w:softHyphen/>
        <w:t xml:space="preserve">taken of the regularity, circumstances and duration of the stay, the reasons for </w:t>
      </w:r>
      <w:r w:rsidRPr="00716D84">
        <w:rPr>
          <w:rStyle w:val="Bodytext1"/>
        </w:rPr>
        <w:softHyphen/>
        <w:t>the transfer of the family to that State, the child’s nationality, place and conditions of schooling and language skills (</w:t>
      </w:r>
      <w:proofErr w:type="spellStart"/>
      <w:r w:rsidRPr="00716D84">
        <w:rPr>
          <w:rStyle w:val="Bodytext1"/>
        </w:rPr>
        <w:t>BeckOGK</w:t>
      </w:r>
      <w:proofErr w:type="spellEnd"/>
      <w:r w:rsidRPr="00716D84">
        <w:rPr>
          <w:rStyle w:val="Bodytext1"/>
        </w:rPr>
        <w:t>-BGB/</w:t>
      </w:r>
      <w:proofErr w:type="spellStart"/>
      <w:r w:rsidRPr="00716D84">
        <w:rPr>
          <w:rStyle w:val="Bodytext1"/>
        </w:rPr>
        <w:t>Markwardt</w:t>
      </w:r>
      <w:proofErr w:type="spellEnd"/>
      <w:r w:rsidRPr="00716D84">
        <w:rPr>
          <w:rStyle w:val="Bodytext1"/>
        </w:rPr>
        <w:t xml:space="preserve">, 1.3.2022, Article 5 of </w:t>
      </w:r>
      <w:r w:rsidRPr="00716D84">
        <w:rPr>
          <w:rStyle w:val="Bodytext1"/>
          <w:color w:val="auto"/>
        </w:rPr>
        <w:t>the Hague Convention of 19 October 1996 on Jurisdiction, Applicable Law, Recognition, Enforcement and Cooperation in re</w:t>
      </w:r>
      <w:r w:rsidR="00BA4C88" w:rsidRPr="00716D84">
        <w:rPr>
          <w:rStyle w:val="Bodytext1"/>
          <w:color w:val="auto"/>
        </w:rPr>
        <w:t>spect of Parental Care and Custody</w:t>
      </w:r>
      <w:r w:rsidRPr="00716D84">
        <w:rPr>
          <w:rStyle w:val="Bodytext1"/>
          <w:color w:val="auto"/>
        </w:rPr>
        <w:t xml:space="preserve"> </w:t>
      </w:r>
      <w:proofErr w:type="spellStart"/>
      <w:r w:rsidRPr="00716D84">
        <w:rPr>
          <w:rStyle w:val="Bodytext1"/>
          <w:color w:val="auto"/>
        </w:rPr>
        <w:t>and</w:t>
      </w:r>
      <w:proofErr w:type="spellEnd"/>
      <w:r w:rsidRPr="00716D84">
        <w:rPr>
          <w:rStyle w:val="Bodytext1"/>
          <w:color w:val="auto"/>
        </w:rPr>
        <w:t xml:space="preserve"> Measures for the Protection of Children,</w:t>
      </w:r>
      <w:r w:rsidRPr="00716D84">
        <w:rPr>
          <w:rStyle w:val="Bodytext1"/>
        </w:rPr>
        <w:t xml:space="preserve"> No 8). Habitual residence must be regularly designed for a certain period of time. The requirements are not as high as in succession law. A short temporary stay in a State is not yet a habitual residence there (see BGH NJW 2019, 1605, paragraph 19). Subjective criteria, in </w:t>
      </w:r>
      <w:r w:rsidRPr="00716D84">
        <w:rPr>
          <w:rStyle w:val="Bodytext1"/>
        </w:rPr>
        <w:softHyphen/>
        <w:t>particular the intention to establish permanent residence in a given place, may</w:t>
      </w:r>
      <w:r w:rsidRPr="00716D84">
        <w:rPr>
          <w:rStyle w:val="Bodytext1"/>
        </w:rPr>
        <w:softHyphen/>
        <w:t xml:space="preserve"> be relevant. Since the intention does not presuppose a certain actual</w:t>
      </w:r>
      <w:r w:rsidRPr="00716D84">
        <w:rPr>
          <w:rStyle w:val="Bodytext1"/>
        </w:rPr>
        <w:softHyphen/>
        <w:t xml:space="preserve"> length of stay, the mere intention of a non-temporary stay </w:t>
      </w:r>
      <w:r w:rsidRPr="00716D84">
        <w:rPr>
          <w:rStyle w:val="Bodytext1"/>
        </w:rPr>
        <w:softHyphen/>
        <w:t>may suffice (</w:t>
      </w:r>
      <w:proofErr w:type="spellStart"/>
      <w:r w:rsidRPr="00716D84">
        <w:rPr>
          <w:rStyle w:val="Bodytext1"/>
        </w:rPr>
        <w:t>BeckOK</w:t>
      </w:r>
      <w:proofErr w:type="spellEnd"/>
      <w:r w:rsidRPr="00716D84">
        <w:rPr>
          <w:rStyle w:val="Bodytext1"/>
        </w:rPr>
        <w:t>-BGB/Lorenz, time: 1.2.2022, paragraph 5 of the EGBGB, point 17).</w:t>
      </w:r>
    </w:p>
    <w:p w14:paraId="6154F33D" w14:textId="7268019E" w:rsidR="000C7DB8" w:rsidRPr="00716D84" w:rsidRDefault="00125B30">
      <w:pPr>
        <w:pStyle w:val="Bodytext10"/>
        <w:spacing w:line="228" w:lineRule="auto"/>
        <w:jc w:val="both"/>
      </w:pPr>
      <w:r w:rsidRPr="00716D84">
        <w:rPr>
          <w:rStyle w:val="Bodytext1"/>
        </w:rPr>
        <w:t>In the case of refugees, a short-term residence may also constitute a habitual residence if only permanent residence in Germany is envisaged (in detail on t</w:t>
      </w:r>
      <w:r w:rsidR="00BA4C88" w:rsidRPr="00716D84">
        <w:rPr>
          <w:rStyle w:val="Bodytext1"/>
        </w:rPr>
        <w:t>he question of the habitual residence</w:t>
      </w:r>
      <w:r w:rsidRPr="00716D84">
        <w:rPr>
          <w:rStyle w:val="Bodytext1"/>
        </w:rPr>
        <w:t xml:space="preserve"> of the refugees, </w:t>
      </w:r>
      <w:r w:rsidR="00716D84" w:rsidRPr="00716D84">
        <w:rPr>
          <w:rStyle w:val="Bodytext1"/>
        </w:rPr>
        <w:t xml:space="preserve">see </w:t>
      </w:r>
      <w:proofErr w:type="spellStart"/>
      <w:r w:rsidR="00716D84" w:rsidRPr="00716D84">
        <w:rPr>
          <w:rStyle w:val="Bodytext1"/>
        </w:rPr>
        <w:t>Baetge</w:t>
      </w:r>
      <w:proofErr w:type="spellEnd"/>
      <w:r w:rsidR="00716D84" w:rsidRPr="00716D84">
        <w:rPr>
          <w:rStyle w:val="Bodytext1"/>
        </w:rPr>
        <w:t xml:space="preserve">, </w:t>
      </w:r>
      <w:proofErr w:type="spellStart"/>
      <w:r w:rsidRPr="00716D84">
        <w:rPr>
          <w:rStyle w:val="Bodytext1"/>
        </w:rPr>
        <w:t>StAZ</w:t>
      </w:r>
      <w:proofErr w:type="spellEnd"/>
      <w:r w:rsidRPr="00716D84">
        <w:rPr>
          <w:rStyle w:val="Bodytext1"/>
        </w:rPr>
        <w:t xml:space="preserve"> 2016, No 289, 292 et seq.). On the other hand, if the concerned </w:t>
      </w:r>
      <w:r w:rsidR="00716D84" w:rsidRPr="00716D84">
        <w:rPr>
          <w:rStyle w:val="Bodytext1"/>
        </w:rPr>
        <w:t xml:space="preserve">person </w:t>
      </w:r>
      <w:r w:rsidRPr="00716D84">
        <w:rPr>
          <w:rStyle w:val="Bodytext1"/>
        </w:rPr>
        <w:t>wishes to return to his</w:t>
      </w:r>
      <w:r w:rsidR="00716D84" w:rsidRPr="00716D84">
        <w:rPr>
          <w:rStyle w:val="Bodytext1"/>
        </w:rPr>
        <w:t>/ her</w:t>
      </w:r>
      <w:r w:rsidRPr="00716D84">
        <w:rPr>
          <w:rStyle w:val="Bodytext1"/>
        </w:rPr>
        <w:t xml:space="preserve"> country of origin, it will be possible to admit habitual residence within the meaning of that Convention only when the residence in the national territory has actually lasted longer. </w:t>
      </w:r>
      <w:r w:rsidR="009E58EB" w:rsidRPr="00716D84">
        <w:rPr>
          <w:rStyle w:val="Bodytext1"/>
        </w:rPr>
        <w:t>Ultimately</w:t>
      </w:r>
      <w:r w:rsidRPr="00716D84">
        <w:rPr>
          <w:rStyle w:val="Bodytext1"/>
        </w:rPr>
        <w:t xml:space="preserve">, this is a </w:t>
      </w:r>
      <w:r w:rsidRPr="00716D84">
        <w:rPr>
          <w:rStyle w:val="Bodytext1"/>
          <w:b/>
        </w:rPr>
        <w:t xml:space="preserve">question of fact which </w:t>
      </w:r>
      <w:r w:rsidRPr="00716D84">
        <w:rPr>
          <w:rStyle w:val="Bodytext1"/>
        </w:rPr>
        <w:t>must be examined separately in each particular case.</w:t>
      </w:r>
    </w:p>
    <w:p w14:paraId="130467C5" w14:textId="47AB2075" w:rsidR="000C7DB8" w:rsidRPr="00716D84" w:rsidRDefault="00716D84">
      <w:pPr>
        <w:pStyle w:val="Bodytext10"/>
        <w:numPr>
          <w:ilvl w:val="0"/>
          <w:numId w:val="4"/>
        </w:numPr>
        <w:tabs>
          <w:tab w:val="left" w:pos="289"/>
        </w:tabs>
        <w:spacing w:line="218" w:lineRule="auto"/>
        <w:ind w:left="280" w:hanging="280"/>
        <w:jc w:val="both"/>
      </w:pPr>
      <w:r w:rsidRPr="00716D84">
        <w:rPr>
          <w:rStyle w:val="Bodytext1"/>
          <w:b/>
          <w:color w:val="000000"/>
        </w:rPr>
        <w:t>What form requirements must a</w:t>
      </w:r>
      <w:r w:rsidR="00125B30" w:rsidRPr="00716D84">
        <w:rPr>
          <w:rStyle w:val="Bodytext1"/>
          <w:b/>
          <w:color w:val="000000"/>
        </w:rPr>
        <w:t xml:space="preserve"> power of attorney meet for use in Ukraine?</w:t>
      </w:r>
    </w:p>
    <w:p w14:paraId="2B0DA6AB" w14:textId="2DAF8742" w:rsidR="000C7DB8" w:rsidRPr="00716D84" w:rsidRDefault="00125B30">
      <w:pPr>
        <w:pStyle w:val="Bodytext10"/>
        <w:spacing w:line="218" w:lineRule="auto"/>
        <w:jc w:val="both"/>
      </w:pPr>
      <w:r w:rsidRPr="00716D84">
        <w:rPr>
          <w:rStyle w:val="Bodytext1"/>
        </w:rPr>
        <w:t xml:space="preserve">Under Ukrainian law, the power of attorney is subject to the same </w:t>
      </w:r>
      <w:r w:rsidR="00716D84" w:rsidRPr="00716D84">
        <w:rPr>
          <w:rStyle w:val="Bodytext1"/>
        </w:rPr>
        <w:t>form requirements than</w:t>
      </w:r>
      <w:r w:rsidRPr="00716D84">
        <w:rPr>
          <w:rStyle w:val="Bodytext1"/>
        </w:rPr>
        <w:t xml:space="preserve"> those necessary for the conclus</w:t>
      </w:r>
      <w:r w:rsidR="00716D84" w:rsidRPr="00716D84">
        <w:rPr>
          <w:rStyle w:val="Bodytext1"/>
        </w:rPr>
        <w:t xml:space="preserve">ion of the underlying legal act </w:t>
      </w:r>
      <w:r w:rsidRPr="00716D84">
        <w:rPr>
          <w:rStyle w:val="Bodytext1"/>
        </w:rPr>
        <w:t>for which it is established (Art. 245, para. 1 of the Ukrainian Civil Code).</w:t>
      </w:r>
    </w:p>
    <w:p w14:paraId="45BFA724" w14:textId="68818CF0" w:rsidR="000C7DB8" w:rsidRPr="00716D84" w:rsidRDefault="00125B30">
      <w:pPr>
        <w:pStyle w:val="Bodytext10"/>
        <w:spacing w:line="218" w:lineRule="auto"/>
        <w:jc w:val="both"/>
      </w:pPr>
      <w:r w:rsidRPr="00716D84">
        <w:rPr>
          <w:rStyle w:val="Bodytext1"/>
        </w:rPr>
        <w:lastRenderedPageBreak/>
        <w:t xml:space="preserve">It is therefore necessary to assess, in each case, what form is required. Since contracts for the sale of immovable property must be </w:t>
      </w:r>
      <w:r w:rsidR="00716D84" w:rsidRPr="00716D84">
        <w:rPr>
          <w:rStyle w:val="Bodytext1"/>
        </w:rPr>
        <w:t>authenticated by a notary</w:t>
      </w:r>
      <w:r w:rsidRPr="00716D84">
        <w:rPr>
          <w:rStyle w:val="Bodytext1"/>
        </w:rPr>
        <w:t xml:space="preserve"> (in accordance with Article 657 of the Ukrainian Civil Code), the power of at</w:t>
      </w:r>
      <w:r w:rsidR="00716D84" w:rsidRPr="00716D84">
        <w:rPr>
          <w:rStyle w:val="Bodytext1"/>
        </w:rPr>
        <w:t>torney issued for this purpose is also subject to notarial authentication (notarial</w:t>
      </w:r>
      <w:r w:rsidRPr="00716D84">
        <w:rPr>
          <w:rStyle w:val="Bodytext1"/>
        </w:rPr>
        <w:t xml:space="preserve"> certification is not sufficient). General mandates </w:t>
      </w:r>
      <w:r w:rsidR="00716D84" w:rsidRPr="00716D84">
        <w:rPr>
          <w:rStyle w:val="Bodytext1"/>
        </w:rPr>
        <w:t xml:space="preserve">are </w:t>
      </w:r>
      <w:r w:rsidRPr="00716D84">
        <w:rPr>
          <w:rStyle w:val="Bodytext1"/>
        </w:rPr>
        <w:t>subject to notarial authentication, if they are also intended to cover legal acts which, in turn, must be authenticated by the notary. In case of uncertainty as to the form required by Ukrainian law, the power of attorney should be authenticated as a precautionary measure.</w:t>
      </w:r>
    </w:p>
    <w:p w14:paraId="647BF2AF" w14:textId="77777777" w:rsidR="000C7DB8" w:rsidRPr="00716D84" w:rsidRDefault="00125B30">
      <w:pPr>
        <w:pStyle w:val="Heading410"/>
        <w:keepNext/>
        <w:keepLines/>
        <w:numPr>
          <w:ilvl w:val="0"/>
          <w:numId w:val="4"/>
        </w:numPr>
        <w:tabs>
          <w:tab w:val="left" w:pos="390"/>
        </w:tabs>
        <w:spacing w:line="218" w:lineRule="auto"/>
        <w:ind w:left="0" w:firstLine="0"/>
        <w:jc w:val="both"/>
      </w:pPr>
      <w:bookmarkStart w:id="9" w:name="bookmark18"/>
      <w:r w:rsidRPr="00716D84">
        <w:rPr>
          <w:rStyle w:val="Heading41"/>
          <w:b/>
        </w:rPr>
        <w:t xml:space="preserve">Need for </w:t>
      </w:r>
      <w:proofErr w:type="spellStart"/>
      <w:r w:rsidRPr="00716D84">
        <w:rPr>
          <w:rStyle w:val="Heading41"/>
          <w:b/>
        </w:rPr>
        <w:t>legalisation</w:t>
      </w:r>
      <w:proofErr w:type="spellEnd"/>
      <w:r w:rsidRPr="00716D84">
        <w:rPr>
          <w:rStyle w:val="Heading41"/>
          <w:b/>
        </w:rPr>
        <w:t xml:space="preserve"> or apostille</w:t>
      </w:r>
      <w:bookmarkEnd w:id="9"/>
    </w:p>
    <w:p w14:paraId="6EE5CE56" w14:textId="63C1F112" w:rsidR="000C7DB8" w:rsidRDefault="00125B30">
      <w:pPr>
        <w:pStyle w:val="Bodytext10"/>
        <w:spacing w:line="218" w:lineRule="auto"/>
        <w:jc w:val="both"/>
        <w:rPr>
          <w:rStyle w:val="Bodytext1"/>
          <w:b/>
        </w:rPr>
      </w:pPr>
      <w:r w:rsidRPr="00716D84">
        <w:rPr>
          <w:rStyle w:val="Bodytext1"/>
        </w:rPr>
        <w:t xml:space="preserve">The Federal Republic of Germany initially opposed Ukraine’s accession to the Hague Convention abolishing the requirement for the </w:t>
      </w:r>
      <w:bookmarkStart w:id="10" w:name="_GoBack"/>
      <w:bookmarkEnd w:id="10"/>
      <w:proofErr w:type="spellStart"/>
      <w:r w:rsidRPr="00716D84">
        <w:rPr>
          <w:rStyle w:val="Bodytext1"/>
        </w:rPr>
        <w:t>legalisation</w:t>
      </w:r>
      <w:proofErr w:type="spellEnd"/>
      <w:r w:rsidRPr="00716D84">
        <w:rPr>
          <w:rStyle w:val="Bodytext1"/>
        </w:rPr>
        <w:t xml:space="preserve"> </w:t>
      </w:r>
      <w:r w:rsidR="00716D84" w:rsidRPr="00716D84">
        <w:rPr>
          <w:rStyle w:val="Bodytext1"/>
        </w:rPr>
        <w:t xml:space="preserve"> for foreign public documents </w:t>
      </w:r>
      <w:r w:rsidRPr="00716D84">
        <w:rPr>
          <w:rStyle w:val="Bodytext1"/>
        </w:rPr>
        <w:t>of 5.10.1961 on 2 April 2003. On 22 July 2010, the Federa</w:t>
      </w:r>
      <w:r w:rsidR="00716D84" w:rsidRPr="00716D84">
        <w:rPr>
          <w:rStyle w:val="Bodytext1"/>
        </w:rPr>
        <w:t>l Republic of Germany withdrew its objection</w:t>
      </w:r>
      <w:r w:rsidRPr="00716D84">
        <w:rPr>
          <w:rStyle w:val="Bodytext1"/>
        </w:rPr>
        <w:t xml:space="preserve"> pursuant to Article 12(2) of the Hague Convention. Consequently, the Hague Convention entered into force on 22 July 2010 in relations between the Federal Republic of Germany and Ukraine (see the communication of the Ministry of Foreign Affairs of 27 September 2010, </w:t>
      </w:r>
      <w:proofErr w:type="spellStart"/>
      <w:r w:rsidRPr="00716D84">
        <w:rPr>
          <w:rStyle w:val="Bodytext1"/>
          <w:i/>
        </w:rPr>
        <w:t>Bundesgesetzblatt</w:t>
      </w:r>
      <w:proofErr w:type="spellEnd"/>
      <w:r w:rsidRPr="00716D84">
        <w:rPr>
          <w:rStyle w:val="Bodytext1"/>
        </w:rPr>
        <w:t xml:space="preserve"> </w:t>
      </w:r>
      <w:proofErr w:type="spellStart"/>
      <w:r w:rsidRPr="00716D84">
        <w:rPr>
          <w:rStyle w:val="Bodytext1"/>
        </w:rPr>
        <w:t>BGBl</w:t>
      </w:r>
      <w:proofErr w:type="spellEnd"/>
      <w:r w:rsidRPr="00716D84">
        <w:rPr>
          <w:rStyle w:val="Bodytext1"/>
        </w:rPr>
        <w:t xml:space="preserve">. II 2010, p. 1195). </w:t>
      </w:r>
      <w:r w:rsidRPr="00716D84">
        <w:rPr>
          <w:rStyle w:val="Bodytext1"/>
          <w:b/>
        </w:rPr>
        <w:t>For documents from Ukraine issued after 22.7.2010, the affixing of an apostille is therefore sufficient for their use in Germa</w:t>
      </w:r>
      <w:r w:rsidR="00D66690" w:rsidRPr="00716D84">
        <w:rPr>
          <w:rStyle w:val="Bodytext1"/>
          <w:b/>
        </w:rPr>
        <w:t>ny.</w:t>
      </w:r>
      <w:r w:rsidR="00D66690">
        <w:rPr>
          <w:rStyle w:val="Bodytext1"/>
          <w:b/>
        </w:rPr>
        <w:t xml:space="preserve"> </w:t>
      </w:r>
    </w:p>
    <w:p w14:paraId="38CA7B71" w14:textId="77777777" w:rsidR="00D66690" w:rsidRDefault="00D66690">
      <w:pPr>
        <w:pStyle w:val="Bodytext10"/>
        <w:spacing w:line="218" w:lineRule="auto"/>
        <w:jc w:val="both"/>
        <w:rPr>
          <w:rStyle w:val="Bodytext1"/>
          <w:b/>
        </w:rPr>
      </w:pPr>
    </w:p>
    <w:p w14:paraId="0219FEEA" w14:textId="0129B9D3" w:rsidR="00D66690" w:rsidRDefault="00D66690">
      <w:pPr>
        <w:pStyle w:val="Bodytext10"/>
        <w:spacing w:line="218" w:lineRule="auto"/>
        <w:jc w:val="both"/>
        <w:sectPr w:rsidR="00D66690">
          <w:footerReference w:type="default" r:id="rId13"/>
          <w:pgSz w:w="11900" w:h="16840"/>
          <w:pgMar w:top="917" w:right="1482" w:bottom="1093" w:left="1465" w:header="489" w:footer="3" w:gutter="0"/>
          <w:pgNumType w:start="62"/>
          <w:cols w:num="2" w:space="166"/>
          <w:noEndnote/>
          <w:docGrid w:linePitch="360"/>
        </w:sectPr>
      </w:pPr>
    </w:p>
    <w:p w14:paraId="3A551A98" w14:textId="77777777" w:rsidR="000C7DB8" w:rsidRDefault="00125B30">
      <w:pPr>
        <w:pStyle w:val="Bodytext10"/>
        <w:spacing w:after="0"/>
      </w:pPr>
      <w:r>
        <w:rPr>
          <w:rStyle w:val="Bodytext1"/>
          <w:b/>
        </w:rPr>
        <w:lastRenderedPageBreak/>
        <w:t>Õ..C.R.</w:t>
      </w:r>
    </w:p>
    <w:sectPr w:rsidR="000C7DB8">
      <w:footerReference w:type="default" r:id="rId14"/>
      <w:pgSz w:w="11900" w:h="16840"/>
      <w:pgMar w:top="913" w:right="9994" w:bottom="999" w:left="1503" w:header="485" w:footer="3" w:gutter="0"/>
      <w:pgNumType w:start="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FF954" w14:textId="77777777" w:rsidR="008503F4" w:rsidRDefault="008503F4">
      <w:r>
        <w:separator/>
      </w:r>
    </w:p>
  </w:endnote>
  <w:endnote w:type="continuationSeparator" w:id="0">
    <w:p w14:paraId="22C3C2B4" w14:textId="77777777" w:rsidR="008503F4" w:rsidRDefault="0085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48FCA" w14:textId="77777777" w:rsidR="00FC2BE6" w:rsidRDefault="00FC2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3523" w14:textId="77777777" w:rsidR="000C7DB8" w:rsidRDefault="00125B30">
    <w:pPr>
      <w:spacing w:line="1" w:lineRule="exact"/>
    </w:pPr>
    <w:r>
      <w:rPr>
        <w:noProof/>
        <w:lang w:val="en-US"/>
      </w:rPr>
      <mc:AlternateContent>
        <mc:Choice Requires="wps">
          <w:drawing>
            <wp:anchor distT="0" distB="0" distL="0" distR="0" simplePos="0" relativeHeight="62914692" behindDoc="1" locked="0" layoutInCell="1" allowOverlap="1" wp14:anchorId="2362195D" wp14:editId="0573D423">
              <wp:simplePos x="0" y="0"/>
              <wp:positionH relativeFrom="page">
                <wp:posOffset>932815</wp:posOffset>
              </wp:positionH>
              <wp:positionV relativeFrom="page">
                <wp:posOffset>10062845</wp:posOffset>
              </wp:positionV>
              <wp:extent cx="1036320"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1036320" cy="85090"/>
                      </a:xfrm>
                      <a:prstGeom prst="rect">
                        <a:avLst/>
                      </a:prstGeom>
                      <a:noFill/>
                    </wps:spPr>
                    <wps:txbx>
                      <w:txbxContent>
                        <w:p w14:paraId="28068534" w14:textId="1430560D" w:rsidR="000C7DB8" w:rsidRDefault="00125B30">
                          <w:pPr>
                            <w:pStyle w:val="Headerorfooter20"/>
                            <w:rPr>
                              <w:sz w:val="18"/>
                            </w:rPr>
                          </w:pPr>
                          <w:r>
                            <w:fldChar w:fldCharType="begin"/>
                          </w:r>
                          <w:r>
                            <w:instrText xml:space="preserve"> PAGE \* MERGEFORMAT </w:instrText>
                          </w:r>
                          <w:r>
                            <w:fldChar w:fldCharType="separate"/>
                          </w:r>
                          <w:r w:rsidR="00143B22" w:rsidRPr="00143B22">
                            <w:rPr>
                              <w:rStyle w:val="Headerorfooter2"/>
                              <w:noProof/>
                            </w:rPr>
                            <w:t>58</w:t>
                          </w:r>
                          <w:r>
                            <w:rPr>
                              <w:rStyle w:val="Headerorfooter2"/>
                            </w:rPr>
                            <w:fldChar w:fldCharType="end"/>
                          </w:r>
                          <w:r>
                            <w:rPr>
                              <w:rStyle w:val="Headerorfooter2"/>
                            </w:rPr>
                            <w:t xml:space="preserve"> </w:t>
                          </w:r>
                          <w:r>
                            <w:rPr>
                              <w:rStyle w:val="Headerorfooter2"/>
                              <w:b/>
                              <w:color w:val="002559"/>
                              <w:sz w:val="18"/>
                            </w:rPr>
                            <w:t xml:space="preserve">RA ort of </w:t>
                          </w:r>
                          <w:proofErr w:type="spellStart"/>
                          <w:r>
                            <w:rPr>
                              <w:rStyle w:val="Headerorfooter2"/>
                              <w:b/>
                              <w:color w:val="002559"/>
                              <w:sz w:val="18"/>
                            </w:rPr>
                            <w:t>DNotI</w:t>
                          </w:r>
                          <w:proofErr w:type="spellEnd"/>
                        </w:p>
                      </w:txbxContent>
                    </wps:txbx>
                    <wps:bodyPr wrap="none" lIns="0" tIns="0" rIns="0" bIns="0">
                      <a:spAutoFit/>
                    </wps:bodyPr>
                  </wps:wsp>
                </a:graphicData>
              </a:graphic>
            </wp:anchor>
          </w:drawing>
        </mc:Choice>
        <mc:Fallback>
          <w:pict>
            <v:shapetype w14:anchorId="2362195D" id="_x0000_t202" coordsize="21600,21600" o:spt="202" path="m,l,21600r21600,l21600,xe">
              <v:stroke joinstyle="miter"/>
              <v:path gradientshapeok="t" o:connecttype="rect"/>
            </v:shapetype>
            <v:shape id="SHAPE 3" o:spid="_x0000_s1026" type="#_x0000_t202" style="position:absolute;margin-left:73.45pt;margin-top:792.35pt;width:81.6pt;height:6.7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" filled="f" stroked="f">
              <v:textbox style="mso-fit-shape-to-text:t" inset="0,0,0,0">
                <w:txbxContent>
                  <w:p w14:paraId="28068534" w14:textId="1430560D" w:rsidR="000C7DB8" w:rsidRDefault="00125B30">
                    <w:pPr>
                      <w:pStyle w:val="Headerorfooter20"/>
                      <w:rPr>
                        <w:sz w:val="18"/>
                      </w:rPr>
                    </w:pPr>
                    <w:r>
                      <w:fldChar w:fldCharType="begin"/>
                    </w:r>
                    <w:r>
                      <w:instrText xml:space="preserve"> PAGE \* MERGEFORMAT </w:instrText>
                    </w:r>
                    <w:r>
                      <w:fldChar w:fldCharType="separate"/>
                    </w:r>
                    <w:r w:rsidR="00143B22" w:rsidRPr="00143B22">
                      <w:rPr>
                        <w:rStyle w:val="Headerorfooter2"/>
                        <w:noProof/>
                      </w:rPr>
                      <w:t>58</w:t>
                    </w:r>
                    <w:r>
                      <w:rPr>
                        <w:rStyle w:val="Headerorfooter2"/>
                      </w:rPr>
                      <w:fldChar w:fldCharType="end"/>
                    </w:r>
                    <w:r>
                      <w:rPr>
                        <w:rStyle w:val="Headerorfooter2"/>
                      </w:rPr>
                      <w:t xml:space="preserve"> </w:t>
                    </w:r>
                    <w:r>
                      <w:rPr>
                        <w:rStyle w:val="Headerorfooter2"/>
                        <w:b/>
                        <w:color w:val="002559"/>
                        <w:sz w:val="18"/>
                      </w:rPr>
                      <w:t xml:space="preserve">RA ort of </w:t>
                    </w:r>
                    <w:proofErr w:type="spellStart"/>
                    <w:r>
                      <w:rPr>
                        <w:rStyle w:val="Headerorfooter2"/>
                        <w:b/>
                        <w:color w:val="002559"/>
                        <w:sz w:val="18"/>
                      </w:rPr>
                      <w:t>DNotI</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45F73" w14:textId="77777777" w:rsidR="00FC2BE6" w:rsidRDefault="00FC2B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D5C3" w14:textId="1151DADA" w:rsidR="000C7DB8" w:rsidRDefault="000C7DB8">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58262" w14:textId="77777777" w:rsidR="000C7DB8" w:rsidRDefault="00125B30">
    <w:pPr>
      <w:spacing w:line="1" w:lineRule="exact"/>
    </w:pPr>
    <w:r>
      <w:rPr>
        <w:noProof/>
        <w:lang w:val="en-US"/>
      </w:rPr>
      <mc:AlternateContent>
        <mc:Choice Requires="wps">
          <w:drawing>
            <wp:anchor distT="0" distB="0" distL="0" distR="0" simplePos="0" relativeHeight="62914702" behindDoc="1" locked="0" layoutInCell="1" allowOverlap="1" wp14:anchorId="308D3652" wp14:editId="3469AD79">
              <wp:simplePos x="0" y="0"/>
              <wp:positionH relativeFrom="page">
                <wp:posOffset>5553710</wp:posOffset>
              </wp:positionH>
              <wp:positionV relativeFrom="page">
                <wp:posOffset>10059035</wp:posOffset>
              </wp:positionV>
              <wp:extent cx="883920" cy="88265"/>
              <wp:effectExtent l="0" t="0" r="0" b="0"/>
              <wp:wrapNone/>
              <wp:docPr id="13" name="SHAPE 13"/>
              <wp:cNvGraphicFramePr/>
              <a:graphic xmlns:a="http://schemas.openxmlformats.org/drawingml/2006/main">
                <a:graphicData uri="http://schemas.microsoft.com/office/word/2010/wordprocessingShape">
                  <wps:wsp>
                    <wps:cNvSpPr txBox="1"/>
                    <wps:spPr>
                      <a:xfrm>
                        <a:off x="0" y="0"/>
                        <a:ext cx="883920" cy="88265"/>
                      </a:xfrm>
                      <a:prstGeom prst="rect">
                        <a:avLst/>
                      </a:prstGeom>
                      <a:noFill/>
                    </wps:spPr>
                    <wps:txbx>
                      <w:txbxContent>
                        <w:p w14:paraId="2BFFC8F9" w14:textId="77777777" w:rsidR="000C7DB8" w:rsidRDefault="00125B30">
                          <w:pPr>
                            <w:pStyle w:val="Headerorfooter20"/>
                            <w:rPr>
                              <w:sz w:val="18"/>
                            </w:rPr>
                          </w:pPr>
                          <w:r>
                            <w:rPr>
                              <w:rStyle w:val="Headerorfooter2"/>
                              <w:b/>
                              <w:color w:val="002559"/>
                              <w:sz w:val="18"/>
                            </w:rPr>
                            <w:t xml:space="preserve">Report by </w:t>
                          </w:r>
                          <w:proofErr w:type="spellStart"/>
                          <w:r>
                            <w:rPr>
                              <w:rStyle w:val="Headerorfooter2"/>
                              <w:b/>
                              <w:color w:val="002559"/>
                              <w:sz w:val="18"/>
                            </w:rPr>
                            <w:t>DNotI</w:t>
                          </w:r>
                          <w:proofErr w:type="spellEnd"/>
                        </w:p>
                      </w:txbxContent>
                    </wps:txbx>
                    <wps:bodyPr wrap="none" lIns="0" tIns="0" rIns="0" bIns="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8D3652" id="_x0000_t202" coordsize="21600,21600" o:spt="202" path="m,l,21600r21600,l21600,xe">
              <v:stroke joinstyle="miter"/>
              <v:path gradientshapeok="t" o:connecttype="rect"/>
            </v:shapetype>
            <v:shape id="SHAPE 13" o:spid="_x0000_s1028" type="#_x0000_t202" style="position:absolute;margin-left:437.3pt;margin-top:792.05pt;width:69.6pt;height:6.9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" filled="f" stroked="f">
              <v:textbox style="mso-fit-shape-to-text:t" inset="0,0,0,0">
                <w:txbxContent>
                  <w:p w14:paraId="2BFFC8F9" w14:textId="77777777" w:rsidR="000C7DB8" w:rsidRDefault="00125B30">
                    <w:pPr>
                      <w:pStyle w:val="Headerorfooter20"/>
                      <w:rPr>
                        <w:sz w:val="18"/>
                      </w:rPr>
                    </w:pPr>
                    <w:r>
                      <w:rPr>
                        <w:rStyle w:val="Headerorfooter2"/>
                        <w:b/>
                        <w:color w:val="002559"/>
                        <w:sz w:val="18"/>
                      </w:rPr>
                      <w:t xml:space="preserve">Report by </w:t>
                    </w:r>
                    <w:proofErr w:type="spellStart"/>
                    <w:r>
                      <w:rPr>
                        <w:rStyle w:val="Headerorfooter2"/>
                        <w:b/>
                        <w:color w:val="002559"/>
                        <w:sz w:val="18"/>
                      </w:rPr>
                      <w:t>DNotI</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2E0AA" w14:textId="77777777" w:rsidR="008503F4" w:rsidRDefault="008503F4"/>
  </w:footnote>
  <w:footnote w:type="continuationSeparator" w:id="0">
    <w:p w14:paraId="04F411F6" w14:textId="77777777" w:rsidR="008503F4" w:rsidRDefault="008503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5DC4E" w14:textId="77777777" w:rsidR="00FC2BE6" w:rsidRDefault="00FC2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5717" w14:textId="77777777" w:rsidR="00FC2BE6" w:rsidRDefault="00FC2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0EBB" w14:textId="77777777" w:rsidR="00FC2BE6" w:rsidRDefault="00FC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6D7"/>
    <w:multiLevelType w:val="multilevel"/>
    <w:tmpl w:val="ECD66DD4"/>
    <w:lvl w:ilvl="0">
      <w:start w:val="2"/>
      <w:numFmt w:val="decimal"/>
      <w:lvlText w:val="%1."/>
      <w:lvlJc w:val="left"/>
      <w:rPr>
        <w:rFonts w:ascii="Times New Roman" w:eastAsia="Times New Roman" w:hAnsi="Times New Roman" w:cs="Times New Roman"/>
        <w:b/>
        <w:bCs/>
        <w:i w:val="0"/>
        <w:iCs w:val="0"/>
        <w:smallCaps w:val="0"/>
        <w:strike w:val="0"/>
        <w:color w:val="005AAA"/>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F68EF"/>
    <w:multiLevelType w:val="multilevel"/>
    <w:tmpl w:val="DC1A6282"/>
    <w:lvl w:ilvl="0">
      <w:start w:val="1"/>
      <w:numFmt w:val="decimal"/>
      <w:lvlText w:val="%1."/>
      <w:lvlJc w:val="left"/>
      <w:rPr>
        <w:rFonts w:ascii="Times New Roman" w:eastAsia="Times New Roman" w:hAnsi="Times New Roman" w:cs="Times New Roman"/>
        <w:b/>
        <w:bCs/>
        <w:i w:val="0"/>
        <w:iCs w:val="0"/>
        <w:smallCaps w:val="0"/>
        <w:strike w:val="0"/>
        <w:color w:val="005AAA"/>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FF1EB5"/>
    <w:multiLevelType w:val="multilevel"/>
    <w:tmpl w:val="569AD466"/>
    <w:lvl w:ilvl="0">
      <w:start w:val="2"/>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26B42"/>
    <w:multiLevelType w:val="multilevel"/>
    <w:tmpl w:val="0C5A5A7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613B84"/>
    <w:multiLevelType w:val="multilevel"/>
    <w:tmpl w:val="D0C49E3C"/>
    <w:lvl w:ilvl="0">
      <w:start w:val="2"/>
      <w:numFmt w:val="decimal"/>
      <w:lvlText w:val="%1."/>
      <w:lvlJc w:val="left"/>
      <w:rPr>
        <w:rFonts w:ascii="Times New Roman" w:eastAsia="Times New Roman" w:hAnsi="Times New Roman" w:cs="Times New Roman"/>
        <w:b/>
        <w:bCs/>
        <w:i w:val="0"/>
        <w:iCs w:val="0"/>
        <w:smallCaps w:val="0"/>
        <w:strike w:val="0"/>
        <w:color w:val="005AAA"/>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DB8"/>
    <w:rsid w:val="0004069D"/>
    <w:rsid w:val="0009271C"/>
    <w:rsid w:val="000A6033"/>
    <w:rsid w:val="000C7DB8"/>
    <w:rsid w:val="000F3CD7"/>
    <w:rsid w:val="00125B30"/>
    <w:rsid w:val="00143B22"/>
    <w:rsid w:val="001D143A"/>
    <w:rsid w:val="002950FD"/>
    <w:rsid w:val="00313C20"/>
    <w:rsid w:val="00385B2C"/>
    <w:rsid w:val="003C12DC"/>
    <w:rsid w:val="003C1D9C"/>
    <w:rsid w:val="00423C9E"/>
    <w:rsid w:val="004F2D0F"/>
    <w:rsid w:val="005E47D4"/>
    <w:rsid w:val="005F16C8"/>
    <w:rsid w:val="00642B23"/>
    <w:rsid w:val="00716D84"/>
    <w:rsid w:val="00721050"/>
    <w:rsid w:val="00743C94"/>
    <w:rsid w:val="00802BEB"/>
    <w:rsid w:val="0082505A"/>
    <w:rsid w:val="008503F4"/>
    <w:rsid w:val="008A47F7"/>
    <w:rsid w:val="008E4B8E"/>
    <w:rsid w:val="008E7702"/>
    <w:rsid w:val="00927BE2"/>
    <w:rsid w:val="0097144C"/>
    <w:rsid w:val="00973FD7"/>
    <w:rsid w:val="00977215"/>
    <w:rsid w:val="009C3378"/>
    <w:rsid w:val="009E39BC"/>
    <w:rsid w:val="009E58EB"/>
    <w:rsid w:val="00AC7024"/>
    <w:rsid w:val="00AE6211"/>
    <w:rsid w:val="00B669BB"/>
    <w:rsid w:val="00BA4C88"/>
    <w:rsid w:val="00C04119"/>
    <w:rsid w:val="00C176E6"/>
    <w:rsid w:val="00CC2B0A"/>
    <w:rsid w:val="00D02144"/>
    <w:rsid w:val="00D66690"/>
    <w:rsid w:val="00D727A0"/>
    <w:rsid w:val="00DA3469"/>
    <w:rsid w:val="00EE013D"/>
    <w:rsid w:val="00F03DDB"/>
    <w:rsid w:val="00FC2BE6"/>
    <w:rsid w:val="00FF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9B3C5"/>
  <w15:docId w15:val="{AE8195FD-E8E9-4742-B141-B039D991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2_"/>
    <w:basedOn w:val="DefaultParagraphFont"/>
    <w:link w:val="Bodytext20"/>
    <w:rPr>
      <w:b w:val="0"/>
      <w:i w:val="0"/>
      <w:smallCaps w:val="0"/>
      <w:strike w:val="0"/>
      <w:color w:val="002559"/>
      <w:sz w:val="18"/>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Bodytext4">
    <w:name w:val="Body text|4_"/>
    <w:basedOn w:val="DefaultParagraphFont"/>
    <w:link w:val="Bodytext40"/>
    <w:rPr>
      <w:b/>
      <w:i w:val="0"/>
      <w:smallCaps w:val="0"/>
      <w:strike w:val="0"/>
      <w:color w:val="002559"/>
      <w:sz w:val="40"/>
      <w:u w:val="none"/>
    </w:rPr>
  </w:style>
  <w:style w:type="character" w:customStyle="1" w:styleId="Heading11">
    <w:name w:val="Heading #1|1_"/>
    <w:basedOn w:val="DefaultParagraphFont"/>
    <w:link w:val="Heading110"/>
    <w:rPr>
      <w:b/>
      <w:i w:val="0"/>
      <w:smallCaps w:val="0"/>
      <w:strike w:val="0"/>
      <w:color w:val="005AAA"/>
      <w:sz w:val="92"/>
      <w:u w:val="none"/>
    </w:rPr>
  </w:style>
  <w:style w:type="character" w:customStyle="1" w:styleId="Bodytext3">
    <w:name w:val="Body text|3_"/>
    <w:basedOn w:val="DefaultParagraphFont"/>
    <w:link w:val="Bodytext30"/>
    <w:rPr>
      <w:b w:val="0"/>
      <w:i w:val="0"/>
      <w:smallCaps w:val="0"/>
      <w:strike w:val="0"/>
      <w:color w:val="002559"/>
      <w:sz w:val="58"/>
      <w:u w:val="none"/>
    </w:rPr>
  </w:style>
  <w:style w:type="character" w:customStyle="1" w:styleId="Heading21">
    <w:name w:val="Heading #2|1_"/>
    <w:basedOn w:val="DefaultParagraphFont"/>
    <w:link w:val="Heading210"/>
    <w:rPr>
      <w:b w:val="0"/>
      <w:i/>
      <w:smallCaps w:val="0"/>
      <w:strike w:val="0"/>
      <w:color w:val="002559"/>
      <w:sz w:val="58"/>
      <w:u w:val="none"/>
    </w:rPr>
  </w:style>
  <w:style w:type="character" w:customStyle="1" w:styleId="Heading41">
    <w:name w:val="Heading #4|1_"/>
    <w:basedOn w:val="DefaultParagraphFont"/>
    <w:link w:val="Heading410"/>
    <w:rPr>
      <w:b/>
      <w:i w:val="0"/>
      <w:smallCaps w:val="0"/>
      <w:strike w:val="0"/>
      <w:sz w:val="22"/>
      <w:u w:val="none"/>
    </w:rPr>
  </w:style>
  <w:style w:type="character" w:customStyle="1" w:styleId="Bodytext1">
    <w:name w:val="Body text|1_"/>
    <w:basedOn w:val="DefaultParagraphFont"/>
    <w:link w:val="Bodytext10"/>
    <w:rPr>
      <w:b w:val="0"/>
      <w:i w:val="0"/>
      <w:smallCaps w:val="0"/>
      <w:strike w:val="0"/>
      <w:color w:val="231F20"/>
      <w:sz w:val="22"/>
      <w:u w:val="none"/>
    </w:rPr>
  </w:style>
  <w:style w:type="character" w:customStyle="1" w:styleId="Heading31">
    <w:name w:val="Heading #3|1_"/>
    <w:basedOn w:val="DefaultParagraphFont"/>
    <w:link w:val="Heading310"/>
    <w:rPr>
      <w:b/>
      <w:i w:val="0"/>
      <w:smallCaps w:val="0"/>
      <w:strike w:val="0"/>
      <w:color w:val="005AAA"/>
      <w:sz w:val="42"/>
      <w:u w:val="none"/>
    </w:rPr>
  </w:style>
  <w:style w:type="paragraph" w:customStyle="1" w:styleId="Bodytext20">
    <w:name w:val="Body text|2"/>
    <w:basedOn w:val="Normal"/>
    <w:link w:val="Bodytext2"/>
    <w:pPr>
      <w:spacing w:after="250"/>
    </w:pPr>
    <w:rPr>
      <w:color w:val="002559"/>
      <w:sz w:val="18"/>
    </w:rPr>
  </w:style>
  <w:style w:type="paragraph" w:customStyle="1" w:styleId="Headerorfooter20">
    <w:name w:val="Header or footer|2"/>
    <w:basedOn w:val="Normal"/>
    <w:link w:val="Headerorfooter2"/>
    <w:rPr>
      <w:sz w:val="20"/>
    </w:rPr>
  </w:style>
  <w:style w:type="paragraph" w:customStyle="1" w:styleId="Bodytext40">
    <w:name w:val="Body text|4"/>
    <w:basedOn w:val="Normal"/>
    <w:link w:val="Bodytext4"/>
    <w:pPr>
      <w:spacing w:after="300" w:line="228" w:lineRule="auto"/>
    </w:pPr>
    <w:rPr>
      <w:b/>
      <w:color w:val="002559"/>
      <w:sz w:val="40"/>
    </w:rPr>
  </w:style>
  <w:style w:type="paragraph" w:customStyle="1" w:styleId="Heading110">
    <w:name w:val="Heading #1|1"/>
    <w:basedOn w:val="Normal"/>
    <w:link w:val="Heading11"/>
    <w:pPr>
      <w:outlineLvl w:val="0"/>
    </w:pPr>
    <w:rPr>
      <w:b/>
      <w:color w:val="005AAA"/>
      <w:sz w:val="92"/>
    </w:rPr>
  </w:style>
  <w:style w:type="paragraph" w:customStyle="1" w:styleId="Bodytext30">
    <w:name w:val="Body text|3"/>
    <w:basedOn w:val="Normal"/>
    <w:link w:val="Bodytext3"/>
    <w:rPr>
      <w:color w:val="002559"/>
      <w:sz w:val="58"/>
    </w:rPr>
  </w:style>
  <w:style w:type="paragraph" w:customStyle="1" w:styleId="Heading210">
    <w:name w:val="Heading #2|1"/>
    <w:basedOn w:val="Normal"/>
    <w:link w:val="Heading21"/>
    <w:pPr>
      <w:spacing w:after="680"/>
      <w:outlineLvl w:val="1"/>
    </w:pPr>
    <w:rPr>
      <w:i/>
      <w:color w:val="002559"/>
      <w:sz w:val="58"/>
    </w:rPr>
  </w:style>
  <w:style w:type="paragraph" w:customStyle="1" w:styleId="Heading410">
    <w:name w:val="Heading #4|1"/>
    <w:basedOn w:val="Normal"/>
    <w:link w:val="Heading41"/>
    <w:pPr>
      <w:spacing w:after="180" w:line="214" w:lineRule="auto"/>
      <w:ind w:left="300" w:hanging="300"/>
      <w:outlineLvl w:val="3"/>
    </w:pPr>
    <w:rPr>
      <w:b/>
      <w:sz w:val="22"/>
    </w:rPr>
  </w:style>
  <w:style w:type="paragraph" w:customStyle="1" w:styleId="Bodytext10">
    <w:name w:val="Body text|1"/>
    <w:basedOn w:val="Normal"/>
    <w:link w:val="Bodytext1"/>
    <w:pPr>
      <w:spacing w:after="180"/>
    </w:pPr>
    <w:rPr>
      <w:color w:val="231F20"/>
      <w:sz w:val="22"/>
    </w:rPr>
  </w:style>
  <w:style w:type="paragraph" w:customStyle="1" w:styleId="Heading310">
    <w:name w:val="Heading #3|1"/>
    <w:basedOn w:val="Normal"/>
    <w:link w:val="Heading31"/>
    <w:pPr>
      <w:spacing w:after="400" w:line="190" w:lineRule="auto"/>
      <w:outlineLvl w:val="2"/>
    </w:pPr>
    <w:rPr>
      <w:b/>
      <w:color w:val="005AAA"/>
      <w:sz w:val="42"/>
    </w:rPr>
  </w:style>
  <w:style w:type="paragraph" w:styleId="Header">
    <w:name w:val="header"/>
    <w:basedOn w:val="Normal"/>
    <w:link w:val="HeaderChar"/>
    <w:uiPriority w:val="99"/>
    <w:unhideWhenUsed/>
    <w:rsid w:val="00FC2BE6"/>
    <w:pPr>
      <w:tabs>
        <w:tab w:val="center" w:pos="4703"/>
        <w:tab w:val="right" w:pos="9406"/>
      </w:tabs>
    </w:pPr>
  </w:style>
  <w:style w:type="character" w:customStyle="1" w:styleId="HeaderChar">
    <w:name w:val="Header Char"/>
    <w:basedOn w:val="DefaultParagraphFont"/>
    <w:link w:val="Header"/>
    <w:uiPriority w:val="99"/>
    <w:rsid w:val="00FC2BE6"/>
    <w:rPr>
      <w:color w:val="000000"/>
    </w:rPr>
  </w:style>
  <w:style w:type="paragraph" w:styleId="Footer">
    <w:name w:val="footer"/>
    <w:basedOn w:val="Normal"/>
    <w:link w:val="FooterChar"/>
    <w:uiPriority w:val="99"/>
    <w:unhideWhenUsed/>
    <w:rsid w:val="00FC2BE6"/>
    <w:pPr>
      <w:tabs>
        <w:tab w:val="center" w:pos="4703"/>
        <w:tab w:val="right" w:pos="9406"/>
      </w:tabs>
    </w:pPr>
  </w:style>
  <w:style w:type="character" w:customStyle="1" w:styleId="FooterChar">
    <w:name w:val="Footer Char"/>
    <w:basedOn w:val="DefaultParagraphFont"/>
    <w:link w:val="Footer"/>
    <w:uiPriority w:val="99"/>
    <w:rsid w:val="00FC2B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3287</Words>
  <Characters>18736</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Kraemer</dc:creator>
  <cp:lastModifiedBy>Susanne Kraemer</cp:lastModifiedBy>
  <cp:revision>2</cp:revision>
  <dcterms:created xsi:type="dcterms:W3CDTF">2022-05-03T12:12:00Z</dcterms:created>
  <dcterms:modified xsi:type="dcterms:W3CDTF">2022-05-03T12:12:00Z</dcterms:modified>
</cp:coreProperties>
</file>